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9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drawing>
            <wp:inline distT="0" distB="0" distL="0" distR="0">
              <wp:extent cx="1457960" cy="174371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960" cy="17437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pPr>
      <w:bookmarkStart w:id="0" w:name="_1079935495"/>
      <w:bookmarkStart w:id="1" w:name="_1079935396"/>
      <w:bookmarkEnd w:id="0"/>
      <w:bookmarkEnd w:id="1"/>
      <w:r>
        <w:rPr>
          <w:drawing>
            <wp:inline distT="0" distB="0" distL="0" distR="0">
              <wp:extent cx="1457960" cy="1743710"/>
              <wp:effectExtent l="0" t="0" r="0" b="0"/>
              <wp:docPr id="0" name="Picture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57960" cy="17437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Heading2"/>
        <w:numPr>
          <w:ilvl w:val="1"/>
          <w:numId w:val="1"/>
        </w:numPr>
        <w:rPr>
          <w:rFonts w:cs="Arial Black" w:ascii="Arial Black" w:hAnsi="Arial Black"/>
          <w:b w:val="false"/>
        </w:rPr>
      </w:pPr>
      <w:r>
        <w:rPr>
          <w:rFonts w:cs="Arial Black" w:ascii="Arial Black" w:hAnsi="Arial Black"/>
          <w:b w:val="false"/>
        </w:rPr>
        <w:t>RISK ASSESSMENT</w:t>
      </w:r>
    </w:p>
    <w:p>
      <w:pPr>
        <w:pStyle w:val="Normal"/>
        <w:overflowPunct w:val="false"/>
        <w:autoSpaceDE w:val="false"/>
        <w:rPr>
          <w:rFonts w:cs="Arial" w:ascii="Arial" w:hAnsi="Arial"/>
          <w:szCs w:val="20"/>
          <w:lang w:val="en-GB"/>
        </w:rPr>
      </w:pPr>
      <w:r>
        <w:rPr>
          <w:rFonts w:cs="Arial" w:ascii="Arial" w:hAnsi="Arial"/>
          <w:szCs w:val="20"/>
          <w:lang w:val="en-GB"/>
        </w:rPr>
      </w:r>
    </w:p>
    <w:tbl>
      <w:tblPr>
        <w:jc w:val="left"/>
        <w:tblInd w:w="-7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  <w:right w:val="nil"/>
          <w:insideV w:val="nil"/>
        </w:tblBorders>
        <w:tblCellMar>
          <w:top w:w="0" w:type="dxa"/>
          <w:left w:w="100" w:type="dxa"/>
          <w:bottom w:w="0" w:type="dxa"/>
          <w:right w:w="108" w:type="dxa"/>
        </w:tblCellMar>
      </w:tblPr>
      <w:tblGrid>
        <w:gridCol w:w="4644"/>
        <w:gridCol w:w="2694"/>
        <w:gridCol w:w="1962"/>
      </w:tblGrid>
      <w:tr>
        <w:trPr>
          <w:cantSplit w:val="false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FACULTY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Facilities</w:t>
            </w:r>
          </w:p>
        </w:tc>
        <w:tc>
          <w:tcPr>
            <w:tcW w:w="4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BUILDING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60" w:hRule="atLeast"/>
          <w:cantSplit w:val="false"/>
        </w:trPr>
        <w:tc>
          <w:tcPr>
            <w:tcW w:w="9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1) ACTIVITY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Daily use of display screen equipment-within office environments</w:t>
            </w:r>
          </w:p>
        </w:tc>
      </w:tr>
      <w:tr>
        <w:trPr>
          <w:trHeight w:val="705" w:hRule="atLeast"/>
          <w:cantSplit w:val="false"/>
        </w:trPr>
        <w:tc>
          <w:tcPr>
            <w:tcW w:w="9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2) PERSONS AT RISK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</w:rPr>
            </w:pPr>
            <w:r>
              <w:rPr>
                <w:rFonts w:eastAsia="Arial"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Staff</w:t>
            </w:r>
          </w:p>
        </w:tc>
      </w:tr>
      <w:tr>
        <w:trPr>
          <w:trHeight w:val="705" w:hRule="atLeast"/>
          <w:cantSplit w:val="false"/>
        </w:trPr>
        <w:tc>
          <w:tcPr>
            <w:tcW w:w="9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3) HAZARDS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Incorrect ergonomic layout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Bad posture, faulty equipment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Working continuously without intervals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Electrical cables and equipment</w:t>
            </w:r>
          </w:p>
          <w:p>
            <w:pPr>
              <w:pStyle w:val="Header"/>
              <w:rPr>
                <w:rFonts w:cs="Arial" w:ascii="Arial Black" w:hAnsi="Arial Black"/>
                <w:sz w:val="20"/>
              </w:rPr>
            </w:pPr>
            <w:r>
              <w:rPr>
                <w:rFonts w:cs="Arial" w:ascii="Arial Black" w:hAnsi="Arial Black"/>
                <w:sz w:val="20"/>
              </w:rPr>
              <w:t xml:space="preserve">3B) Hazard Rating                                                                      HIGH  </w:t>
            </w:r>
          </w:p>
        </w:tc>
      </w:tr>
      <w:tr>
        <w:trPr>
          <w:trHeight w:val="74" w:hRule="atLeast"/>
          <w:cantSplit w:val="false"/>
        </w:trPr>
        <w:tc>
          <w:tcPr>
            <w:tcW w:w="9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4) RISK CONTROL METHODS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Ensure that all staff have completed the university’s display screen self-assessment form.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Any anomalies from the self-assessment are brought to the attention of a university display screen assessor and the problems are rectified.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Ensure that any specialist equipment identified by the self-assessment or by a DSE risk assessor are sourced as soon as possible. 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If there is any change to the workstation position or equipment ensure that, a DSE self-assessment is conducted by the user.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Ensure that the display screen user has undertaken a regular eye test.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Ensure that the display screen user takes regular breaks from using the equipment 5 to 10 minute’s variation every hour.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Make sure that the display screen user knows where to report health and equipment problems.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If a display screen user becomes pregnant, ensure that regular assessments are undertaken to the workstation as the pregnancy progresses.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 xml:space="preserve">Ensure that the lighting is at the correct level for display screen equipment use. 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Ensure that all electrical equipment in use has been tested to the relevant university standards and has the appropriate test label in place.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If a lap top computer is used the appropriate assessment and equipment must be in place before use.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Communicate to all staff that equipment should not be modified and that any plug in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  <w:t>devices are permitted for use.</w:t>
            </w:r>
          </w:p>
          <w:p>
            <w:pPr>
              <w:pStyle w:val="Normal"/>
              <w:overflowPunct w:val="false"/>
              <w:autoSpaceDE w:val="false"/>
              <w:jc w:val="both"/>
              <w:rPr>
                <w:rFonts w:cs="Arial" w:ascii="Arial" w:hAnsi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overflowPunct w:val="false"/>
              <w:autoSpaceDE w:val="false"/>
              <w:rPr/>
            </w:pPr>
            <w:r>
              <w:rPr>
                <w:rFonts w:cs="Arial Black" w:ascii="Arial Black" w:hAnsi="Arial Black"/>
                <w:sz w:val="20"/>
                <w:szCs w:val="20"/>
              </w:rPr>
              <w:t>4B) Hazard Rating with control methods                                  LOW</w:t>
            </w:r>
            <w:r>
              <w:rPr/>
              <w:t xml:space="preserve">  </w:t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</w:r>
          </w:p>
        </w:tc>
      </w:tr>
      <w:tr>
        <w:trPr>
          <w:trHeight w:val="1138" w:hRule="atLeast"/>
          <w:cantSplit w:val="false"/>
        </w:trPr>
        <w:tc>
          <w:tcPr>
            <w:tcW w:w="9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5) FURTHER ACTION REQUIRED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  <w:t>Specific risk assessments may need to be undertaken for individual display screen users experiencing significant problems with their workstations.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  <w:t>Consult University compliance strategy and guidance contained on the University health and safety web-site.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  <w:t>Staff using a lap top will need a separate assessment.</w:t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</w:tr>
      <w:tr>
        <w:trPr>
          <w:trHeight w:val="551" w:hRule="atLeast"/>
          <w:cantSplit w:val="false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NAME AND TITLE OF ASSESSOR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Paula Gibbons</w:t>
            </w:r>
          </w:p>
          <w:p>
            <w:pPr>
              <w:pStyle w:val="Header"/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Ass University H/S Adviser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SIGNATURE</w:t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DATE</w:t>
            </w:r>
          </w:p>
          <w:p>
            <w:pPr>
              <w:pStyle w:val="Head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  <w:t>02 April ‘13</w:t>
            </w:r>
          </w:p>
          <w:p>
            <w:pPr>
              <w:pStyle w:val="Header"/>
              <w:rPr>
                <w:rFonts w:cs="Arial" w:ascii="Arial" w:hAnsi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800" w:hRule="atLeast"/>
          <w:cantSplit w:val="false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Header"/>
              <w:tabs>
                <w:tab w:val="left" w:pos="720" w:leader="none"/>
                <w:tab w:val="center" w:pos="4153" w:leader="none"/>
                <w:tab w:val="right" w:pos="8306" w:leader="none"/>
              </w:tabs>
              <w:snapToGrid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</w:r>
          </w:p>
          <w:p>
            <w:pPr>
              <w:pStyle w:val="Header"/>
              <w:tabs>
                <w:tab w:val="left" w:pos="720" w:leader="none"/>
                <w:tab w:val="center" w:pos="4153" w:leader="none"/>
                <w:tab w:val="right" w:pos="8306" w:leader="none"/>
              </w:tabs>
              <w:rPr>
                <w:rFonts w:cs="Arial" w:ascii="Arial" w:hAnsi="Arial"/>
                <w:szCs w:val="24"/>
              </w:rPr>
            </w:pPr>
            <w:r>
              <w:rPr>
                <w:rFonts w:cs="Arial" w:ascii="Arial" w:hAnsi="Arial"/>
                <w:szCs w:val="24"/>
              </w:rPr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snapToGrid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REVIEW DATE</w:t>
            </w:r>
          </w:p>
          <w:p>
            <w:pPr>
              <w:pStyle w:val="Header"/>
              <w:rPr>
                <w:rFonts w:cs="Arial" w:ascii="Arial" w:hAnsi="Arial"/>
                <w:szCs w:val="24"/>
                <w:lang w:val="en-US"/>
              </w:rPr>
            </w:pPr>
            <w:r>
              <w:rPr>
                <w:rFonts w:cs="Arial" w:ascii="Arial" w:hAnsi="Arial"/>
                <w:szCs w:val="24"/>
                <w:lang w:val="en-US"/>
              </w:rPr>
            </w:r>
          </w:p>
        </w:tc>
      </w:tr>
      <w:tr>
        <w:trPr>
          <w:trHeight w:val="530" w:hRule="atLeast"/>
          <w:cantSplit w:val="false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SIGNATURE OF DEAN OF FACULTY</w:t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snapToGrid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DATE</w:t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</w:tr>
      <w:tr>
        <w:trPr>
          <w:trHeight w:val="74" w:hRule="atLeast"/>
          <w:cantSplit w:val="false"/>
        </w:trPr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snapToGrid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nil"/>
              <w:insideV w:val="nil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snapToGrid w:val="false"/>
              <w:rPr>
                <w:rFonts w:cs="Arial Black" w:ascii="Arial Black" w:hAnsi="Arial Black"/>
                <w:sz w:val="20"/>
                <w:szCs w:val="20"/>
                <w:lang w:val="en-GB"/>
              </w:rPr>
            </w:pPr>
            <w:r>
              <w:rPr>
                <w:rFonts w:cs="Arial Black" w:ascii="Arial Black" w:hAnsi="Arial Black"/>
                <w:sz w:val="20"/>
                <w:szCs w:val="20"/>
                <w:lang w:val="en-GB"/>
              </w:rPr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  <w:right w:val="single" w:sz="6" w:space="0" w:color="000000"/>
              <w:insideV w:val="single" w:sz="6" w:space="0" w:color="000000"/>
            </w:tcBorders>
            <w:shd w:fill="auto" w:val="clear"/>
            <w:tcMar>
              <w:left w:w="100" w:type="dxa"/>
            </w:tcMar>
          </w:tcPr>
          <w:p>
            <w:pPr>
              <w:pStyle w:val="Normal"/>
              <w:overflowPunct w:val="false"/>
              <w:autoSpaceDE w:val="false"/>
              <w:rPr>
                <w:rFonts w:cs="Arial Black" w:ascii="Arial Black" w:hAnsi="Arial Black"/>
                <w:sz w:val="20"/>
              </w:rPr>
            </w:pPr>
            <w:r>
              <w:rPr>
                <w:rFonts w:cs="Arial Black" w:ascii="Arial Black" w:hAnsi="Arial Black"/>
                <w:sz w:val="20"/>
              </w:rPr>
              <w:t>REVIEW DATE</w:t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  <w:p>
            <w:pPr>
              <w:pStyle w:val="Normal"/>
              <w:overflowPunct w:val="false"/>
              <w:autoSpaceDE w:val="false"/>
              <w:rPr>
                <w:rFonts w:cs="Arial" w:ascii="Arial" w:hAnsi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</w:tbl>
    <w:p>
      <w:pPr>
        <w:pStyle w:val="Normal"/>
        <w:overflowPunct w:val="false"/>
        <w:autoSpaceDE w:val="false"/>
        <w:rPr>
          <w:lang w:val="en-GB"/>
        </w:rPr>
      </w:pPr>
      <w:r>
        <w:rPr>
          <w:lang w:val="en-GB"/>
        </w:rPr>
      </w:r>
    </w:p>
    <w:p>
      <w:pPr>
        <w:pStyle w:val="Normal"/>
        <w:overflowPunct w:val="false"/>
        <w:autoSpaceDE w:val="false"/>
        <w:rPr>
          <w:lang w:val="en-GB"/>
        </w:rPr>
      </w:pPr>
      <w:r>
        <w:rPr>
          <w:lang w:val="en-GB"/>
        </w:rPr>
      </w:r>
    </w:p>
    <w:sectPr>
      <w:type w:val="nextPage"/>
      <w:pgSz w:w="12240" w:h="15840"/>
      <w:pgMar w:left="1800" w:right="1800" w:header="0" w:top="54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 Rounded MT Bold">
    <w:charset w:val="00"/>
    <w:family w:val="swiss"/>
    <w:pitch w:val="variable"/>
  </w:font>
  <w:font w:name="Symbol"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Garamond">
    <w:charset w:val="00"/>
    <w:family w:val="roman"/>
    <w:pitch w:val="variable"/>
  </w:font>
  <w:font w:name="Arial Black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62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overflowPunct w:val="false"/>
      <w:autoSpaceDE w:val="false"/>
      <w:textAlignment w:val="baseline"/>
      <w:outlineLvl w:val="0"/>
      <w:outlineLvl w:val="0"/>
    </w:pPr>
    <w:rPr>
      <w:rFonts w:ascii="Arial Rounded MT Bold" w:hAnsi="Arial Rounded MT Bold" w:cs="Arial Rounded MT Bold"/>
      <w:b/>
      <w:sz w:val="20"/>
      <w:szCs w:val="20"/>
      <w:lang w:val="en-GB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overflowPunct w:val="false"/>
      <w:autoSpaceDE w:val="false"/>
      <w:jc w:val="center"/>
      <w:outlineLvl w:val="1"/>
      <w:outlineLvl w:val="1"/>
    </w:pPr>
    <w:rPr>
      <w:rFonts w:ascii="Arial" w:hAnsi="Arial" w:eastAsia="Arial Unicode MS" w:cs="Arial Unicode MS"/>
      <w:b/>
      <w:szCs w:val="20"/>
      <w:lang w:val="en-GB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overflowPunct w:val="false"/>
      <w:autoSpaceDE w:val="false"/>
      <w:outlineLvl w:val="2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overflowPunct w:val="false"/>
      <w:autoSpaceDE w:val="false"/>
      <w:textAlignment w:val="baseline"/>
      <w:outlineLvl w:val="3"/>
      <w:outlineLvl w:val="3"/>
    </w:pPr>
    <w:rPr>
      <w:rFonts w:ascii="Arial" w:hAnsi="Arial" w:cs="Arial"/>
      <w:b/>
      <w:sz w:val="20"/>
      <w:szCs w:val="20"/>
      <w:lang w:val="en-GB"/>
    </w:rPr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WW8Num2z0">
    <w:name w:val="WW8Num2z0"/>
    <w:rPr>
      <w:rFonts w:ascii="Symbol" w:hAnsi="Symbol" w:cs="Symbol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2">
    <w:name w:val="WW8Num2z2"/>
    <w:rPr>
      <w:rFonts w:ascii="Wingdings" w:hAnsi="Wingdings" w:cs="Wingdings"/>
    </w:rPr>
  </w:style>
  <w:style w:type="character" w:styleId="WW8Num3z0">
    <w:name w:val="WW8Num3z0"/>
    <w:rPr>
      <w:rFonts w:ascii="Symbol" w:hAnsi="Symbol" w:cs="Symbol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overflowPunct w:val="false"/>
      <w:autoSpaceDE w:val="false"/>
      <w:jc w:val="center"/>
      <w:textAlignment w:val="baseline"/>
    </w:pPr>
    <w:rPr>
      <w:rFonts w:ascii="Arial" w:hAnsi="Arial" w:cs="Arial"/>
      <w:b/>
      <w:szCs w:val="20"/>
      <w:lang w:val="en-GB"/>
    </w:rPr>
  </w:style>
  <w:style w:type="paragraph" w:styleId="TextBody">
    <w:name w:val="Text Body"/>
    <w:basedOn w:val="Normal"/>
    <w:pPr>
      <w:overflowPunct w:val="false"/>
      <w:autoSpaceDE w:val="false"/>
    </w:pPr>
    <w:rPr>
      <w:rFonts w:ascii="Garamond" w:hAnsi="Garamond" w:cs="Garamond"/>
      <w:sz w:val="22"/>
      <w:szCs w:val="20"/>
      <w:lang w:val="en-GB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153" w:leader="none"/>
        <w:tab w:val="right" w:pos="8306" w:leader="none"/>
      </w:tabs>
      <w:overflowPunct w:val="false"/>
      <w:autoSpaceDE w:val="false"/>
    </w:pPr>
    <w:rPr>
      <w:szCs w:val="20"/>
      <w:lang w:val="en-GB"/>
    </w:rPr>
  </w:style>
  <w:style w:type="paragraph" w:styleId="BlockText">
    <w:name w:val="Block Text"/>
    <w:basedOn w:val="Normal"/>
    <w:pPr>
      <w:tabs>
        <w:tab w:val="left" w:pos="284" w:leader="none"/>
      </w:tabs>
      <w:overflowPunct w:val="false"/>
      <w:autoSpaceDE w:val="false"/>
      <w:ind w:left="284" w:right="302" w:hanging="284"/>
      <w:textAlignment w:val="baseline"/>
    </w:pPr>
    <w:rPr>
      <w:rFonts w:ascii="Garamond" w:hAnsi="Garamond" w:cs="Garamond"/>
      <w:szCs w:val="20"/>
      <w:lang w:val="en-GB"/>
    </w:rPr>
  </w:style>
  <w:style w:type="paragraph" w:styleId="Subtitle">
    <w:name w:val="Subtitle"/>
    <w:basedOn w:val="Normal"/>
    <w:next w:val="TextBody"/>
    <w:pPr>
      <w:overflowPunct w:val="false"/>
      <w:autoSpaceDE w:val="false"/>
      <w:textAlignment w:val="baseline"/>
    </w:pPr>
    <w:rPr>
      <w:rFonts w:ascii="Arial Rounded MT Bold" w:hAnsi="Arial Rounded MT Bold" w:cs="Arial Rounded MT Bold"/>
      <w:b/>
      <w:sz w:val="20"/>
      <w:szCs w:val="20"/>
      <w:lang w:val="en-GB"/>
    </w:rPr>
  </w:style>
  <w:style w:type="paragraph" w:styleId="BodyText2">
    <w:name w:val="Body Text 2"/>
    <w:basedOn w:val="Normal"/>
    <w:pPr>
      <w:overflowPunct w:val="false"/>
      <w:autoSpaceDE w:val="false"/>
    </w:pPr>
    <w:rPr>
      <w:rFonts w:ascii="Arial" w:hAnsi="Arial" w:cs="Arial"/>
      <w:b/>
      <w:bCs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9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2013-04-02T18:50:00Z</dcterms:created>
  <dc:creator>Health &amp; Safety</dc:creator>
  <dc:language>en-IN</dc:language>
  <cp:lastModifiedBy>MMU User</cp:lastModifiedBy>
  <cp:lastPrinted>2009-02-23T15:19:00Z</cp:lastPrinted>
  <dcterms:modified xsi:type="dcterms:W3CDTF">2013-04-02T19:30:00Z</dcterms:modified>
  <cp:revision>4</cp:revision>
  <dc:title>GENERIC RISK ASSESSMENT</dc:title>
</cp:coreProperties>
</file>