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sz w:val="32"/>
        </w:rPr>
      </w:pPr>
      <w:r>
        <w:rPr>
          <w:sz w:val="32"/>
        </w:rPr>
        <w:t>PROGRAM ASSESSMENT PLAN</w:t>
      </w:r>
    </w:p>
    <w:p>
      <w:pPr>
        <w:pStyle w:val="Normal"/>
        <w:jc w:val="center"/>
        <w:rPr>
          <w:sz w:val="32"/>
        </w:rPr>
      </w:pPr>
      <w:r>
        <w:rPr>
          <w:sz w:val="32"/>
        </w:rPr>
        <w:t>Department of Music</w:t>
      </w:r>
    </w:p>
    <w:p>
      <w:pPr>
        <w:pStyle w:val="Normal"/>
        <w:jc w:val="center"/>
        <w:rPr>
          <w:sz w:val="32"/>
        </w:rPr>
      </w:pPr>
      <w:r>
        <w:rPr>
          <w:sz w:val="32"/>
        </w:rPr>
        <w:t>April 2004</w:t>
      </w:r>
    </w:p>
    <w:p>
      <w:pPr>
        <w:pStyle w:val="Normal"/>
        <w:ind w:left="360" w:right="0" w:hanging="0"/>
        <w:rPr/>
      </w:pPr>
      <w:r>
        <w:rPr/>
      </w:r>
    </w:p>
    <w:p>
      <w:pPr>
        <w:pStyle w:val="Normal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rPr/>
      </w:pPr>
      <w:r>
        <w:rPr/>
        <w:t xml:space="preserve">1.   List the </w:t>
      </w:r>
      <w:r>
        <w:rPr>
          <w:b/>
        </w:rPr>
        <w:t>OBJECTIVES</w:t>
      </w:r>
      <w:r>
        <w:rPr/>
        <w:t xml:space="preserve"> of the program.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Curricula taken as a music major will prepare the graduate to: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2"/>
        </w:numPr>
        <w:rPr/>
      </w:pPr>
      <w:r>
        <w:rPr/>
        <w:t>Be able to pursue a career in a music related field</w:t>
      </w:r>
    </w:p>
    <w:p>
      <w:pPr>
        <w:pStyle w:val="Normal"/>
        <w:numPr>
          <w:ilvl w:val="0"/>
          <w:numId w:val="2"/>
        </w:numPr>
        <w:rPr/>
      </w:pPr>
      <w:r>
        <w:rPr/>
        <w:t>Meet requirements for advanced musical study toward a Masters Degree</w:t>
      </w:r>
    </w:p>
    <w:p>
      <w:pPr>
        <w:pStyle w:val="Normal"/>
        <w:numPr>
          <w:ilvl w:val="0"/>
          <w:numId w:val="2"/>
        </w:numPr>
        <w:rPr/>
      </w:pPr>
      <w:r>
        <w:rPr/>
        <w:t>Become a lifelong supporter of the musical arts</w:t>
      </w:r>
    </w:p>
    <w:p>
      <w:pPr>
        <w:pStyle w:val="Normal"/>
        <w:rPr/>
      </w:pPr>
      <w:r>
        <w:rPr/>
      </w:r>
    </w:p>
    <w:p>
      <w:pPr>
        <w:pStyle w:val="Normal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rPr/>
      </w:pPr>
      <w:r>
        <w:rPr/>
        <w:t xml:space="preserve">2.  Explain how the department or program will know the extent to which  </w:t>
      </w:r>
    </w:p>
    <w:p>
      <w:pPr>
        <w:pStyle w:val="Normal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rPr/>
      </w:pPr>
      <w:r>
        <w:rPr/>
        <w:t xml:space="preserve">     </w:t>
      </w:r>
      <w:r>
        <w:rPr>
          <w:b/>
        </w:rPr>
        <w:t xml:space="preserve">OBJECTIVES </w:t>
      </w:r>
      <w:r>
        <w:rPr/>
        <w:t>are achieved (alumni or other surveys, employment data, etc.).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1"/>
        </w:numPr>
        <w:rPr/>
      </w:pPr>
      <w:r>
        <w:rPr/>
        <w:t>Job placement in music related fields</w:t>
      </w:r>
    </w:p>
    <w:p>
      <w:pPr>
        <w:pStyle w:val="Normal"/>
        <w:numPr>
          <w:ilvl w:val="0"/>
          <w:numId w:val="1"/>
        </w:numPr>
        <w:rPr/>
      </w:pPr>
      <w:r>
        <w:rPr/>
        <w:t>Records of music graduates matriculating into graduate schools</w:t>
      </w:r>
    </w:p>
    <w:p>
      <w:pPr>
        <w:pStyle w:val="Normal"/>
        <w:numPr>
          <w:ilvl w:val="0"/>
          <w:numId w:val="1"/>
        </w:numPr>
        <w:rPr/>
      </w:pPr>
      <w:r>
        <w:rPr/>
        <w:t>Annual alumni surveys</w:t>
      </w:r>
    </w:p>
    <w:p>
      <w:pPr>
        <w:pStyle w:val="Normal"/>
        <w:rPr/>
      </w:pPr>
      <w:r>
        <w:rPr/>
      </w:r>
    </w:p>
    <w:p>
      <w:pPr>
        <w:pStyle w:val="Normal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rPr/>
      </w:pPr>
      <w:r>
        <w:rPr/>
        <w:t xml:space="preserve">3.  List the </w:t>
      </w:r>
      <w:r>
        <w:rPr>
          <w:b/>
        </w:rPr>
        <w:t xml:space="preserve">LEARNING OUTCOMES </w:t>
      </w:r>
      <w:r>
        <w:rPr/>
        <w:t>of the program.</w:t>
      </w:r>
    </w:p>
    <w:p>
      <w:pPr>
        <w:pStyle w:val="Normal"/>
        <w:ind w:left="360" w:right="0" w:hanging="0"/>
        <w:rPr/>
      </w:pPr>
      <w:r>
        <w:rPr/>
      </w:r>
    </w:p>
    <w:p>
      <w:pPr>
        <w:pStyle w:val="Normal"/>
        <w:ind w:left="360" w:right="0" w:hanging="0"/>
        <w:rPr/>
      </w:pPr>
      <w:r>
        <w:rPr/>
        <w:t>General Outcomes:</w:t>
      </w:r>
    </w:p>
    <w:p>
      <w:pPr>
        <w:pStyle w:val="Normal"/>
        <w:ind w:left="360" w:right="0" w:hanging="0"/>
        <w:rPr/>
      </w:pPr>
      <w:r>
        <w:rPr/>
      </w:r>
    </w:p>
    <w:p>
      <w:pPr>
        <w:pStyle w:val="Normal"/>
        <w:ind w:left="360" w:right="0" w:hanging="0"/>
        <w:rPr/>
      </w:pPr>
      <w:r>
        <w:rPr/>
        <w:t>Music students will:</w:t>
      </w:r>
    </w:p>
    <w:p>
      <w:pPr>
        <w:pStyle w:val="Normal"/>
        <w:numPr>
          <w:ilvl w:val="0"/>
          <w:numId w:val="4"/>
        </w:numPr>
        <w:rPr/>
      </w:pPr>
      <w:r>
        <w:rPr/>
        <w:t>Demonstrate conception understanding of musical components and processes</w:t>
      </w:r>
    </w:p>
    <w:p>
      <w:pPr>
        <w:pStyle w:val="Normal"/>
        <w:numPr>
          <w:ilvl w:val="0"/>
          <w:numId w:val="4"/>
        </w:numPr>
        <w:rPr/>
      </w:pPr>
      <w:r>
        <w:rPr/>
        <w:t>Develop the ability to create, interpret, present, analyze, and evaluate music</w:t>
      </w:r>
    </w:p>
    <w:p>
      <w:pPr>
        <w:pStyle w:val="Normal"/>
        <w:numPr>
          <w:ilvl w:val="0"/>
          <w:numId w:val="4"/>
        </w:numPr>
        <w:rPr/>
      </w:pPr>
      <w:r>
        <w:rPr/>
        <w:t>Have knowledge of various musical cultures and historical periods</w:t>
      </w:r>
    </w:p>
    <w:p>
      <w:pPr>
        <w:pStyle w:val="Normal"/>
        <w:numPr>
          <w:ilvl w:val="0"/>
          <w:numId w:val="4"/>
        </w:numPr>
        <w:rPr/>
      </w:pPr>
      <w:r>
        <w:rPr/>
        <w:t>Acquire capacities to integrate musical knowledge and skills</w:t>
      </w:r>
    </w:p>
    <w:p>
      <w:pPr>
        <w:pStyle w:val="Normal"/>
        <w:numPr>
          <w:ilvl w:val="0"/>
          <w:numId w:val="4"/>
        </w:numPr>
        <w:rPr/>
      </w:pPr>
      <w:r>
        <w:rPr/>
        <w:t>Accumulate capabilities for independent work in the music professions</w:t>
      </w:r>
    </w:p>
    <w:p>
      <w:pPr>
        <w:pStyle w:val="Normal"/>
        <w:rPr/>
      </w:pPr>
      <w:r>
        <w:rPr/>
      </w:r>
    </w:p>
    <w:p>
      <w:pPr>
        <w:pStyle w:val="BodyTextIndent2"/>
        <w:rPr/>
      </w:pPr>
      <w:r>
        <w:rPr/>
        <w:t>Specific Outcomes for each major are found in the appropriate sections of the Handbook of the National Association of Schools of Music. (Pages attached to this document)</w:t>
      </w:r>
    </w:p>
    <w:p>
      <w:pPr>
        <w:pStyle w:val="Normal"/>
        <w:ind w:left="360" w:right="0" w:hanging="0"/>
        <w:rPr/>
      </w:pPr>
      <w:r>
        <w:rPr/>
      </w:r>
    </w:p>
    <w:p>
      <w:pPr>
        <w:pStyle w:val="Normal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rPr/>
      </w:pPr>
      <w:r>
        <w:rPr/>
        <w:t xml:space="preserve">4.   List and briefly describe the </w:t>
      </w:r>
      <w:r>
        <w:rPr>
          <w:b/>
        </w:rPr>
        <w:t>MEASURES</w:t>
      </w:r>
      <w:r>
        <w:rPr/>
        <w:t xml:space="preserve"> that will be used to assess each learning </w:t>
      </w:r>
    </w:p>
    <w:p>
      <w:pPr>
        <w:pStyle w:val="Normal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rPr/>
      </w:pPr>
      <w:r>
        <w:rPr/>
        <w:t xml:space="preserve">      </w:t>
      </w:r>
      <w:r>
        <w:rPr/>
        <w:t xml:space="preserve">outcome.  </w:t>
      </w:r>
    </w:p>
    <w:p>
      <w:pPr>
        <w:pStyle w:val="Normal"/>
        <w:ind w:left="360" w:right="0" w:hanging="0"/>
        <w:rPr/>
      </w:pPr>
      <w:r>
        <w:rPr/>
        <w:tab/>
      </w:r>
    </w:p>
    <w:p>
      <w:pPr>
        <w:pStyle w:val="Normal"/>
        <w:ind w:left="360" w:right="0" w:hanging="0"/>
        <w:rPr/>
      </w:pPr>
      <w:r>
        <w:rPr/>
        <w:t xml:space="preserve">•  </w:t>
      </w:r>
      <w:r>
        <w:rPr/>
        <w:t>Praxis II scores  (content knowledge)</w:t>
      </w:r>
    </w:p>
    <w:p>
      <w:pPr>
        <w:pStyle w:val="Normal"/>
        <w:ind w:left="360" w:right="0" w:hanging="0"/>
        <w:rPr/>
      </w:pPr>
      <w:r>
        <w:rPr/>
        <w:t xml:space="preserve">•  </w:t>
      </w:r>
      <w:r>
        <w:rPr/>
        <w:t>Senior Recital performances  (performance)</w:t>
      </w:r>
    </w:p>
    <w:p>
      <w:pPr>
        <w:pStyle w:val="Normal"/>
        <w:ind w:left="720" w:right="0" w:hanging="360"/>
        <w:rPr/>
      </w:pPr>
      <w:r>
        <w:rPr/>
        <w:t xml:space="preserve">•  </w:t>
      </w:r>
      <w:r>
        <w:rPr/>
        <w:t>Performance at annual jury examinations and promotions as listed in Applied Music Policy</w:t>
      </w:r>
    </w:p>
    <w:p>
      <w:pPr>
        <w:pStyle w:val="Normal"/>
        <w:ind w:left="720" w:right="0" w:hanging="360"/>
        <w:rPr/>
      </w:pPr>
      <w:r>
        <w:rPr/>
        <w:t xml:space="preserve">•  </w:t>
      </w:r>
      <w:r>
        <w:rPr/>
        <w:t>Proficiency examinations following curricular sequences</w:t>
      </w:r>
    </w:p>
    <w:p>
      <w:pPr>
        <w:pStyle w:val="Normal"/>
        <w:ind w:left="720" w:right="0" w:hanging="360"/>
        <w:rPr/>
      </w:pPr>
      <w:r>
        <w:rPr/>
        <w:tab/>
        <w:t>(music theory, sight-singing, music history, functional keyboard)</w:t>
      </w:r>
    </w:p>
    <w:p>
      <w:pPr>
        <w:pStyle w:val="Normal"/>
        <w:ind w:left="720" w:right="0" w:hanging="360"/>
        <w:rPr/>
      </w:pPr>
      <w:r>
        <w:rPr/>
        <w:t xml:space="preserve">•  </w:t>
      </w:r>
      <w:r>
        <w:rPr/>
        <w:t>Music Education admission/assessment review</w:t>
      </w:r>
    </w:p>
    <w:p>
      <w:pPr>
        <w:pStyle w:val="Normal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ind w:left="360" w:right="0" w:hanging="360"/>
        <w:rPr/>
      </w:pPr>
      <w:r>
        <w:rPr/>
        <w:t xml:space="preserve">5.   Describe how learning outcomes are made </w:t>
      </w:r>
      <w:r>
        <w:rPr>
          <w:b/>
        </w:rPr>
        <w:t>MEASURABLE</w:t>
      </w:r>
      <w:r>
        <w:rPr/>
        <w:t xml:space="preserve"> and </w:t>
      </w:r>
      <w:r>
        <w:rPr>
          <w:b/>
        </w:rPr>
        <w:t>BENCHMARKS</w:t>
      </w:r>
      <w:r>
        <w:rPr/>
        <w:t xml:space="preserve"> or other determinants of success are set.</w:t>
      </w:r>
    </w:p>
    <w:p>
      <w:pPr>
        <w:pStyle w:val="Normal"/>
        <w:rPr/>
      </w:pPr>
      <w:r>
        <w:rPr/>
      </w:r>
    </w:p>
    <w:p>
      <w:pPr>
        <w:pStyle w:val="BodyTextIndent3"/>
        <w:numPr>
          <w:ilvl w:val="0"/>
          <w:numId w:val="5"/>
        </w:numPr>
        <w:rPr/>
      </w:pPr>
      <w:r>
        <w:rPr/>
        <w:t>At least 80% of music education students pass Music Content Knowledge Praxis II examination.</w:t>
      </w:r>
    </w:p>
    <w:p>
      <w:pPr>
        <w:pStyle w:val="BodyTextIndent3"/>
        <w:numPr>
          <w:ilvl w:val="0"/>
          <w:numId w:val="5"/>
        </w:numPr>
        <w:rPr/>
      </w:pPr>
      <w:r>
        <w:rPr/>
        <w:t>Performance levels reviewed by music faculty relative to similar NASM institutions.</w:t>
      </w:r>
    </w:p>
    <w:p>
      <w:pPr>
        <w:pStyle w:val="Normal"/>
        <w:rPr/>
      </w:pPr>
      <w:r>
        <w:rPr/>
      </w:r>
    </w:p>
    <w:p>
      <w:pPr>
        <w:pStyle w:val="Normal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rPr/>
      </w:pPr>
      <w:r>
        <w:rPr/>
        <w:t xml:space="preserve">6.  Describe the process by which </w:t>
      </w:r>
      <w:r>
        <w:rPr>
          <w:b/>
        </w:rPr>
        <w:t>FINDINGS</w:t>
      </w:r>
      <w:r>
        <w:rPr/>
        <w:t xml:space="preserve"> will be derived from the measures.</w:t>
      </w:r>
    </w:p>
    <w:p>
      <w:pPr>
        <w:pStyle w:val="Normal"/>
        <w:ind w:left="360" w:right="0" w:hanging="0"/>
        <w:rPr/>
      </w:pPr>
      <w:r>
        <w:rPr/>
      </w:r>
    </w:p>
    <w:p>
      <w:pPr>
        <w:pStyle w:val="Normal"/>
        <w:ind w:left="720" w:right="0" w:hanging="360"/>
        <w:rPr/>
      </w:pPr>
      <w:r>
        <w:rPr/>
        <w:t>Faculty from the Department of Music will review data at the annual Fall Conference Meetings.</w:t>
      </w:r>
    </w:p>
    <w:p>
      <w:pPr>
        <w:pStyle w:val="Normal"/>
        <w:ind w:left="720" w:right="0" w:hanging="360"/>
        <w:rPr/>
      </w:pPr>
      <w:r>
        <w:rPr/>
      </w:r>
    </w:p>
    <w:p>
      <w:pPr>
        <w:pStyle w:val="Normal"/>
        <w:ind w:left="1080" w:right="0" w:hanging="360"/>
        <w:rPr/>
      </w:pPr>
      <w:r>
        <w:rPr/>
        <w:t xml:space="preserve">•  </w:t>
      </w:r>
      <w:r>
        <w:rPr/>
        <w:t>Academic Studies Sub-Committee of Music Education Faculty will review music education students admission into degree program.</w:t>
      </w:r>
    </w:p>
    <w:p>
      <w:pPr>
        <w:pStyle w:val="Normal"/>
        <w:ind w:left="1080" w:right="0" w:hanging="360"/>
        <w:rPr/>
      </w:pPr>
      <w:r>
        <w:rPr/>
        <w:t xml:space="preserve">•  </w:t>
      </w:r>
      <w:r>
        <w:rPr/>
        <w:t>Performance Study Sub-Committee of Applied Faculty will review performance standards and results of juries and recitals.</w:t>
      </w:r>
    </w:p>
    <w:p>
      <w:pPr>
        <w:pStyle w:val="Normal"/>
        <w:ind w:left="1080" w:right="0" w:hanging="360"/>
        <w:rPr/>
      </w:pPr>
      <w:r>
        <w:rPr/>
        <w:t xml:space="preserve">•  </w:t>
      </w:r>
      <w:r>
        <w:rPr/>
        <w:t>Area faculty will analyze results of proficiency examinations.</w:t>
      </w:r>
    </w:p>
    <w:p>
      <w:pPr>
        <w:pStyle w:val="Normal"/>
        <w:rPr/>
      </w:pPr>
      <w:r>
        <w:rPr/>
      </w:r>
    </w:p>
    <w:p>
      <w:pPr>
        <w:pStyle w:val="Normal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rPr/>
      </w:pPr>
      <w:r>
        <w:rPr/>
        <w:t xml:space="preserve">7.  Describe the process by which findings are analyzed to determine what </w:t>
      </w:r>
    </w:p>
    <w:p>
      <w:pPr>
        <w:pStyle w:val="Normal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rPr/>
      </w:pPr>
      <w:r>
        <w:rPr/>
        <w:t xml:space="preserve">     </w:t>
      </w:r>
      <w:r>
        <w:rPr>
          <w:b/>
        </w:rPr>
        <w:t xml:space="preserve">IMPROVEMENTS </w:t>
      </w:r>
      <w:r>
        <w:rPr/>
        <w:t>should be made to better meet objectives and learning outcomes.</w:t>
      </w:r>
    </w:p>
    <w:p>
      <w:pPr>
        <w:pStyle w:val="Normal"/>
        <w:rPr/>
      </w:pPr>
      <w:r>
        <w:rPr/>
      </w:r>
    </w:p>
    <w:p>
      <w:pPr>
        <w:pStyle w:val="BodyTextIndent3"/>
        <w:rPr/>
      </w:pPr>
      <w:r>
        <w:rPr/>
        <w:t>Departmental committees and area faculty will review findings at the annual fall conference and make recommendations for improvements to the Faculty Committee.</w:t>
      </w:r>
    </w:p>
    <w:p>
      <w:pPr>
        <w:pStyle w:val="Normal"/>
        <w:rPr/>
      </w:pPr>
      <w:r>
        <w:rPr/>
      </w:r>
    </w:p>
    <w:p>
      <w:pPr>
        <w:pStyle w:val="Normal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rPr/>
      </w:pPr>
      <w:r>
        <w:rPr/>
        <w:t xml:space="preserve">8.  Identify a </w:t>
      </w:r>
      <w:r>
        <w:rPr>
          <w:b/>
        </w:rPr>
        <w:t>TIMETABLE</w:t>
      </w:r>
      <w:r>
        <w:rPr/>
        <w:t xml:space="preserve"> for assessment.</w:t>
      </w:r>
    </w:p>
    <w:p>
      <w:pPr>
        <w:pStyle w:val="Normal"/>
        <w:ind w:left="360" w:right="0" w:hanging="0"/>
        <w:rPr/>
      </w:pPr>
      <w:r>
        <w:rPr/>
      </w:r>
    </w:p>
    <w:p>
      <w:pPr>
        <w:pStyle w:val="Normal"/>
        <w:ind w:left="360" w:right="0" w:hanging="0"/>
        <w:rPr/>
      </w:pPr>
      <w:r>
        <w:rPr/>
        <w:t>As a full member of the National Association of Schools of Music (NASM), the Department of Music at Wright State University follows the 10-year cycle of review as mandated by NASM.</w:t>
      </w:r>
    </w:p>
    <w:p>
      <w:pPr>
        <w:pStyle w:val="Normal"/>
        <w:ind w:left="360" w:right="0" w:hanging="0"/>
        <w:rPr/>
      </w:pPr>
      <w:r>
        <w:rPr/>
      </w:r>
    </w:p>
    <w:p>
      <w:pPr>
        <w:pStyle w:val="Normal"/>
        <w:ind w:left="360" w:right="0" w:hanging="0"/>
        <w:rPr/>
      </w:pPr>
      <w:r>
        <w:rPr/>
        <w:t>Within this 10-year cycle the Department of Music will conduct a yearly assessment of items listed above, with an internal cumulative assessment in year 5, and a cumulative assessment as part of the NASM re-accreditation process in year 9 and 10.</w:t>
      </w:r>
    </w:p>
    <w:p>
      <w:pPr>
        <w:pStyle w:val="Normal"/>
        <w:rPr/>
      </w:pPr>
      <w:r>
        <w:rPr/>
      </w:r>
    </w:p>
    <w:p>
      <w:pPr>
        <w:pStyle w:val="Normal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rPr/>
      </w:pPr>
      <w:r>
        <w:rPr/>
        <w:t xml:space="preserve">9.  Briefly explain how the program’s assessment plan supports and interacts with </w:t>
      </w:r>
    </w:p>
    <w:p>
      <w:pPr>
        <w:pStyle w:val="Normal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rPr/>
      </w:pPr>
      <w:r>
        <w:rPr/>
        <w:t xml:space="preserve">     </w:t>
      </w:r>
      <w:r>
        <w:rPr>
          <w:b/>
        </w:rPr>
        <w:t xml:space="preserve">ACCREDITATION </w:t>
      </w:r>
      <w:r>
        <w:rPr/>
        <w:t>and</w:t>
      </w:r>
      <w:r>
        <w:rPr>
          <w:b/>
        </w:rPr>
        <w:t xml:space="preserve"> LICENSURE </w:t>
      </w:r>
      <w:r>
        <w:rPr/>
        <w:t>requirements (if applicable).</w:t>
      </w:r>
    </w:p>
    <w:p>
      <w:pPr>
        <w:pStyle w:val="Normal"/>
        <w:rPr/>
      </w:pPr>
      <w:r>
        <w:rPr/>
      </w:r>
    </w:p>
    <w:p>
      <w:pPr>
        <w:pStyle w:val="Normal"/>
        <w:ind w:left="360" w:right="0" w:hanging="0"/>
        <w:rPr/>
      </w:pPr>
      <w:r>
        <w:rPr/>
        <w:t xml:space="preserve">The Department of Music is a full member of the National Association of Schools of Music (NASM).  As a member the Department complies with all the standards of this accreditation agency.  The standards are printed yearly in the </w:t>
      </w:r>
      <w:r>
        <w:rPr>
          <w:i/>
        </w:rPr>
        <w:t>NASM Handbook</w:t>
      </w:r>
      <w:r>
        <w:rPr/>
        <w:t>.</w:t>
      </w:r>
    </w:p>
    <w:p>
      <w:pPr>
        <w:pStyle w:val="Normal"/>
        <w:ind w:left="360" w:right="0" w:hanging="0"/>
        <w:rPr/>
      </w:pPr>
      <w:r>
        <w:rPr/>
      </w:r>
    </w:p>
    <w:p>
      <w:pPr>
        <w:pStyle w:val="Normal"/>
        <w:ind w:left="360" w:right="0" w:hanging="0"/>
        <w:rPr/>
      </w:pPr>
      <w:r>
        <w:rPr/>
      </w:r>
    </w:p>
    <w:p>
      <w:pPr>
        <w:pStyle w:val="Normal"/>
        <w:ind w:left="360" w:right="0" w:hanging="0"/>
        <w:rPr/>
      </w:pPr>
      <w:r>
        <w:rPr/>
      </w:r>
    </w:p>
    <w:p>
      <w:pPr>
        <w:pStyle w:val="Normal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rPr/>
      </w:pPr>
      <w:r>
        <w:rPr/>
        <w:t xml:space="preserve">10.  Describe how the objectives and learning outcomes of the program are </w:t>
      </w:r>
    </w:p>
    <w:p>
      <w:pPr>
        <w:pStyle w:val="Normal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rPr/>
      </w:pPr>
      <w:r>
        <w:rPr/>
        <w:t xml:space="preserve">       </w:t>
      </w:r>
      <w:r>
        <w:rPr>
          <w:b/>
        </w:rPr>
        <w:t>COMMUNICATED</w:t>
      </w:r>
      <w:r>
        <w:rPr/>
        <w:t xml:space="preserve"> to students and others.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3"/>
        </w:numPr>
        <w:rPr/>
      </w:pPr>
      <w:r>
        <w:rPr/>
        <w:t>Objectives and learning outcomes will be printed and distributed to students at the music student convocation each September.</w:t>
      </w:r>
    </w:p>
    <w:p>
      <w:pPr>
        <w:pStyle w:val="Normal"/>
        <w:numPr>
          <w:ilvl w:val="0"/>
          <w:numId w:val="3"/>
        </w:numPr>
        <w:rPr/>
      </w:pPr>
      <w:r>
        <w:rPr/>
        <w:t>Objectives and learning outcomes will be printed and distributed to the Department of Music Community Advisory Committee and Alumni Advisory Committee.</w:t>
      </w:r>
    </w:p>
    <w:p>
      <w:pPr>
        <w:pStyle w:val="Normal"/>
        <w:numPr>
          <w:ilvl w:val="0"/>
          <w:numId w:val="3"/>
        </w:numPr>
        <w:rPr>
          <w:color w:val="000000"/>
        </w:rPr>
      </w:pPr>
      <w:r>
        <w:rPr>
          <w:color w:val="000000"/>
        </w:rPr>
        <w:t>Objectives and learning outcomes will be published on the Department of Music Website.</w:t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">
    <w:altName w:val="Times New Roman"/>
    <w:charset w:val="00"/>
    <w:family w:val="roman"/>
    <w:pitch w:val="variable"/>
  </w:font>
  <w:font w:name="Symbol">
    <w:charset w:val="01"/>
    <w:family w:val="roman"/>
    <w:pitch w:val="variable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62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" w:hAnsi="Times" w:eastAsia="Times" w:cs="Times"/>
      <w:color w:val="auto"/>
      <w:sz w:val="24"/>
      <w:szCs w:val="20"/>
      <w:lang w:val="en-US" w:bidi="ar-SA" w:eastAsia="zh-CN"/>
    </w:rPr>
  </w:style>
  <w:style w:type="character" w:styleId="WW8Num1z0">
    <w:name w:val="WW8Num1z0"/>
    <w:rPr/>
  </w:style>
  <w:style w:type="character" w:styleId="WW8Num1z1">
    <w:name w:val="WW8Num1z1"/>
    <w:rPr/>
  </w:style>
  <w:style w:type="character" w:styleId="WW8Num1z2">
    <w:name w:val="WW8Num1z2"/>
    <w:rPr/>
  </w:style>
  <w:style w:type="character" w:styleId="WW8Num1z3">
    <w:name w:val="WW8Num1z3"/>
    <w:rPr/>
  </w:style>
  <w:style w:type="character" w:styleId="WW8Num1z4">
    <w:name w:val="WW8Num1z4"/>
    <w:rPr/>
  </w:style>
  <w:style w:type="character" w:styleId="WW8Num1z5">
    <w:name w:val="WW8Num1z5"/>
    <w:rPr/>
  </w:style>
  <w:style w:type="character" w:styleId="WW8Num1z6">
    <w:name w:val="WW8Num1z6"/>
    <w:rPr/>
  </w:style>
  <w:style w:type="character" w:styleId="WW8Num1z7">
    <w:name w:val="WW8Num1z7"/>
    <w:rPr/>
  </w:style>
  <w:style w:type="character" w:styleId="WW8Num1z8">
    <w:name w:val="WW8Num1z8"/>
    <w:rPr/>
  </w:style>
  <w:style w:type="character" w:styleId="WW8Num2z0">
    <w:name w:val="WW8Num2z0"/>
    <w:rPr/>
  </w:style>
  <w:style w:type="character" w:styleId="WW8Num2z1">
    <w:name w:val="WW8Num2z1"/>
    <w:rPr/>
  </w:style>
  <w:style w:type="character" w:styleId="WW8Num2z2">
    <w:name w:val="WW8Num2z2"/>
    <w:rPr/>
  </w:style>
  <w:style w:type="character" w:styleId="WW8Num2z3">
    <w:name w:val="WW8Num2z3"/>
    <w:rPr/>
  </w:style>
  <w:style w:type="character" w:styleId="WW8Num2z4">
    <w:name w:val="WW8Num2z4"/>
    <w:rPr/>
  </w:style>
  <w:style w:type="character" w:styleId="WW8Num2z5">
    <w:name w:val="WW8Num2z5"/>
    <w:rPr/>
  </w:style>
  <w:style w:type="character" w:styleId="WW8Num2z6">
    <w:name w:val="WW8Num2z6"/>
    <w:rPr/>
  </w:style>
  <w:style w:type="character" w:styleId="WW8Num2z7">
    <w:name w:val="WW8Num2z7"/>
    <w:rPr/>
  </w:style>
  <w:style w:type="character" w:styleId="WW8Num2z8">
    <w:name w:val="WW8Num2z8"/>
    <w:rPr/>
  </w:style>
  <w:style w:type="character" w:styleId="WW8Num3z0">
    <w:name w:val="WW8Num3z0"/>
    <w:rPr>
      <w:rFonts w:ascii="Symbol" w:hAnsi="Symbol" w:cs="Symbol"/>
    </w:rPr>
  </w:style>
  <w:style w:type="character" w:styleId="WW8Num3z1">
    <w:name w:val="WW8Num3z1"/>
    <w:rPr>
      <w:rFonts w:ascii="Courier New" w:hAnsi="Courier New" w:cs="Times"/>
    </w:rPr>
  </w:style>
  <w:style w:type="character" w:styleId="WW8Num3z2">
    <w:name w:val="WW8Num3z2"/>
    <w:rPr>
      <w:rFonts w:ascii="Wingdings" w:hAnsi="Wingdings" w:cs="Wingdings"/>
    </w:rPr>
  </w:style>
  <w:style w:type="character" w:styleId="WW8Num4z0">
    <w:name w:val="WW8Num4z0"/>
    <w:rPr/>
  </w:style>
  <w:style w:type="character" w:styleId="WW8Num4z1">
    <w:name w:val="WW8Num4z1"/>
    <w:rPr/>
  </w:style>
  <w:style w:type="character" w:styleId="WW8Num4z2">
    <w:name w:val="WW8Num4z2"/>
    <w:rPr/>
  </w:style>
  <w:style w:type="character" w:styleId="WW8Num4z3">
    <w:name w:val="WW8Num4z3"/>
    <w:rPr/>
  </w:style>
  <w:style w:type="character" w:styleId="WW8Num4z4">
    <w:name w:val="WW8Num4z4"/>
    <w:rPr/>
  </w:style>
  <w:style w:type="character" w:styleId="WW8Num4z5">
    <w:name w:val="WW8Num4z5"/>
    <w:rPr/>
  </w:style>
  <w:style w:type="character" w:styleId="WW8Num4z6">
    <w:name w:val="WW8Num4z6"/>
    <w:rPr/>
  </w:style>
  <w:style w:type="character" w:styleId="WW8Num4z7">
    <w:name w:val="WW8Num4z7"/>
    <w:rPr/>
  </w:style>
  <w:style w:type="character" w:styleId="WW8Num4z8">
    <w:name w:val="WW8Num4z8"/>
    <w:rPr/>
  </w:style>
  <w:style w:type="character" w:styleId="WW8Num5z0">
    <w:name w:val="WW8Num5z0"/>
    <w:rPr/>
  </w:style>
  <w:style w:type="character" w:styleId="WW8Num5z1">
    <w:name w:val="WW8Num5z1"/>
    <w:rPr/>
  </w:style>
  <w:style w:type="character" w:styleId="WW8Num5z2">
    <w:name w:val="WW8Num5z2"/>
    <w:rPr/>
  </w:style>
  <w:style w:type="character" w:styleId="WW8Num5z3">
    <w:name w:val="WW8Num5z3"/>
    <w:rPr/>
  </w:style>
  <w:style w:type="character" w:styleId="WW8Num5z4">
    <w:name w:val="WW8Num5z4"/>
    <w:rPr/>
  </w:style>
  <w:style w:type="character" w:styleId="WW8Num5z5">
    <w:name w:val="WW8Num5z5"/>
    <w:rPr/>
  </w:style>
  <w:style w:type="character" w:styleId="WW8Num5z6">
    <w:name w:val="WW8Num5z6"/>
    <w:rPr/>
  </w:style>
  <w:style w:type="character" w:styleId="WW8Num5z7">
    <w:name w:val="WW8Num5z7"/>
    <w:rPr/>
  </w:style>
  <w:style w:type="character" w:styleId="WW8Num5z8">
    <w:name w:val="WW8Num5z8"/>
    <w:rPr/>
  </w:style>
  <w:style w:type="character" w:styleId="WW8Num6z0">
    <w:name w:val="WW8Num6z0"/>
    <w:rPr>
      <w:rFonts w:ascii="Symbol" w:hAnsi="Symbol" w:cs="Symbol"/>
    </w:rPr>
  </w:style>
  <w:style w:type="character" w:styleId="WW8Num6z1">
    <w:name w:val="WW8Num6z1"/>
    <w:rPr>
      <w:rFonts w:ascii="Courier New" w:hAnsi="Courier New" w:cs="Times"/>
    </w:rPr>
  </w:style>
  <w:style w:type="character" w:styleId="WW8Num6z2">
    <w:name w:val="WW8Num6z2"/>
    <w:rPr>
      <w:rFonts w:ascii="Wingdings" w:hAnsi="Wingdings" w:cs="Wingdings"/>
    </w:rPr>
  </w:style>
  <w:style w:type="character" w:styleId="WW8Num7z0">
    <w:name w:val="WW8Num7z0"/>
    <w:rPr>
      <w:rFonts w:ascii="Symbol" w:hAnsi="Symbol" w:cs="Symbol"/>
    </w:rPr>
  </w:style>
  <w:style w:type="character" w:styleId="WW8Num7z1">
    <w:name w:val="WW8Num7z1"/>
    <w:rPr>
      <w:rFonts w:ascii="Courier New" w:hAnsi="Courier New" w:cs="Times"/>
    </w:rPr>
  </w:style>
  <w:style w:type="character" w:styleId="WW8Num7z2">
    <w:name w:val="WW8Num7z2"/>
    <w:rPr>
      <w:rFonts w:ascii="Wingdings" w:hAnsi="Wingdings" w:cs="Wingdings"/>
    </w:rPr>
  </w:style>
  <w:style w:type="character" w:styleId="WW8Num8z0">
    <w:name w:val="WW8Num8z0"/>
    <w:rPr/>
  </w:style>
  <w:style w:type="character" w:styleId="WW8Num8z1">
    <w:name w:val="WW8Num8z1"/>
    <w:rPr/>
  </w:style>
  <w:style w:type="character" w:styleId="WW8Num8z2">
    <w:name w:val="WW8Num8z2"/>
    <w:rPr/>
  </w:style>
  <w:style w:type="character" w:styleId="WW8Num8z3">
    <w:name w:val="WW8Num8z3"/>
    <w:rPr/>
  </w:style>
  <w:style w:type="character" w:styleId="WW8Num8z4">
    <w:name w:val="WW8Num8z4"/>
    <w:rPr/>
  </w:style>
  <w:style w:type="character" w:styleId="WW8Num8z5">
    <w:name w:val="WW8Num8z5"/>
    <w:rPr/>
  </w:style>
  <w:style w:type="character" w:styleId="WW8Num8z6">
    <w:name w:val="WW8Num8z6"/>
    <w:rPr/>
  </w:style>
  <w:style w:type="character" w:styleId="WW8Num8z7">
    <w:name w:val="WW8Num8z7"/>
    <w:rPr/>
  </w:style>
  <w:style w:type="character" w:styleId="WW8Num8z8">
    <w:name w:val="WW8Num8z8"/>
    <w:rPr/>
  </w:style>
  <w:style w:type="character" w:styleId="WW8Num9z0">
    <w:name w:val="WW8Num9z0"/>
    <w:rPr>
      <w:rFonts w:ascii="Symbol" w:hAnsi="Symbol" w:cs="Symbol"/>
    </w:rPr>
  </w:style>
  <w:style w:type="character" w:styleId="WW8Num9z1">
    <w:name w:val="WW8Num9z1"/>
    <w:rPr>
      <w:rFonts w:ascii="Courier New" w:hAnsi="Courier New" w:cs="Times"/>
    </w:rPr>
  </w:style>
  <w:style w:type="character" w:styleId="WW8Num9z2">
    <w:name w:val="WW8Num9z2"/>
    <w:rPr>
      <w:rFonts w:ascii="Wingdings" w:hAnsi="Wingdings" w:cs="Wingdings"/>
    </w:rPr>
  </w:style>
  <w:style w:type="character" w:styleId="WW8Num10z0">
    <w:name w:val="WW8Num10z0"/>
    <w:rPr>
      <w:rFonts w:ascii="Symbol" w:hAnsi="Symbol" w:cs="Symbol"/>
    </w:rPr>
  </w:style>
  <w:style w:type="character" w:styleId="WW8Num10z1">
    <w:name w:val="WW8Num10z1"/>
    <w:rPr>
      <w:rFonts w:ascii="Courier New" w:hAnsi="Courier New" w:cs="Times"/>
    </w:rPr>
  </w:style>
  <w:style w:type="character" w:styleId="WW8Num10z2">
    <w:name w:val="WW8Num10z2"/>
    <w:rPr>
      <w:rFonts w:ascii="Wingdings" w:hAnsi="Wingdings" w:cs="Wingdings"/>
    </w:rPr>
  </w:style>
  <w:style w:type="character" w:styleId="WW8Num11z0">
    <w:name w:val="WW8Num11z0"/>
    <w:rPr>
      <w:rFonts w:ascii="Symbol" w:hAnsi="Symbol" w:cs="Symbol"/>
    </w:rPr>
  </w:style>
  <w:style w:type="character" w:styleId="WW8Num11z1">
    <w:name w:val="WW8Num11z1"/>
    <w:rPr/>
  </w:style>
  <w:style w:type="character" w:styleId="WW8Num11z2">
    <w:name w:val="WW8Num11z2"/>
    <w:rPr/>
  </w:style>
  <w:style w:type="character" w:styleId="WW8Num11z3">
    <w:name w:val="WW8Num11z3"/>
    <w:rPr/>
  </w:style>
  <w:style w:type="character" w:styleId="WW8Num11z4">
    <w:name w:val="WW8Num11z4"/>
    <w:rPr/>
  </w:style>
  <w:style w:type="character" w:styleId="WW8Num11z5">
    <w:name w:val="WW8Num11z5"/>
    <w:rPr/>
  </w:style>
  <w:style w:type="character" w:styleId="WW8Num11z6">
    <w:name w:val="WW8Num11z6"/>
    <w:rPr/>
  </w:style>
  <w:style w:type="character" w:styleId="WW8Num11z7">
    <w:name w:val="WW8Num11z7"/>
    <w:rPr/>
  </w:style>
  <w:style w:type="character" w:styleId="WW8Num11z8">
    <w:name w:val="WW8Num11z8"/>
    <w:rPr/>
  </w:style>
  <w:style w:type="character" w:styleId="DefaultParagraphFont">
    <w:name w:val="Default Paragraph Font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TextBodyIndent">
    <w:name w:val="Text Body Indent"/>
    <w:basedOn w:val="Normal"/>
    <w:pPr>
      <w:ind w:left="1080" w:right="0" w:hanging="720"/>
    </w:pPr>
    <w:rPr/>
  </w:style>
  <w:style w:type="paragraph" w:styleId="BodyTextIndent2">
    <w:name w:val="Body Text Indent 2"/>
    <w:basedOn w:val="Normal"/>
    <w:pPr>
      <w:ind w:left="360" w:right="0" w:hanging="0"/>
    </w:pPr>
    <w:rPr/>
  </w:style>
  <w:style w:type="paragraph" w:styleId="BodyTextIndent3">
    <w:name w:val="Body Text Indent 3"/>
    <w:basedOn w:val="Normal"/>
    <w:pPr>
      <w:ind w:left="720" w:right="0" w:hanging="360"/>
    </w:pPr>
    <w:rPr/>
  </w:style>
  <w:style w:type="numbering" w:styleId="WW8Num1">
    <w:name w:val="WW8Num1"/>
  </w:style>
  <w:style w:type="numbering" w:styleId="WW8Num2">
    <w:name w:val="WW8Num2"/>
  </w:style>
  <w:style w:type="numbering" w:styleId="WW8Num3">
    <w:name w:val="WW8Num3"/>
  </w:style>
  <w:style w:type="numbering" w:styleId="WW8Num4">
    <w:name w:val="WW8Num4"/>
  </w:style>
  <w:style w:type="numbering" w:styleId="WW8Num5">
    <w:name w:val="WW8Num5"/>
  </w:style>
  <w:style w:type="numbering" w:styleId="WW8Num6">
    <w:name w:val="WW8Num6"/>
  </w:style>
  <w:style w:type="numbering" w:styleId="WW8Num7">
    <w:name w:val="WW8Num7"/>
  </w:style>
  <w:style w:type="numbering" w:styleId="WW8Num8">
    <w:name w:val="WW8Num8"/>
  </w:style>
  <w:style w:type="numbering" w:styleId="WW8Num9">
    <w:name w:val="WW8Num9"/>
  </w:style>
  <w:style w:type="numbering" w:styleId="WW8Num10">
    <w:name w:val="WW8Num10"/>
  </w:style>
  <w:style w:type="numbering" w:styleId="WW8Num11">
    <w:name w:val="WW8Num11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2004-10-14T02:14:00Z</dcterms:created>
  <dc:creator>Herbert Dregalla</dc:creator>
  <dc:language>en-IN</dc:language>
  <cp:lastModifiedBy>WSUPC</cp:lastModifiedBy>
  <cp:lastPrinted>2004-10-13T16:44:00Z</cp:lastPrinted>
  <dcterms:modified xsi:type="dcterms:W3CDTF">2004-10-14T02:16:00Z</dcterms:modified>
  <cp:revision>5</cp:revision>
  <dc:title>PROGRAM ASSESSMENT PLAN</dc:title>
</cp:coreProperties>
</file>