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E42E0" w14:textId="59C7C48D" w:rsidR="00433468" w:rsidRDefault="00811BA6" w:rsidP="00433468">
      <w:pPr>
        <w:spacing w:after="0"/>
        <w:rPr>
          <w:rFonts w:ascii="Century Gothic" w:hAnsi="Century Gothic"/>
          <w:b/>
          <w:bCs/>
          <w:noProof/>
          <w:color w:val="595959" w:themeColor="text1" w:themeTint="A6"/>
          <w:sz w:val="44"/>
          <w:szCs w:val="44"/>
        </w:rPr>
      </w:pPr>
      <w:r w:rsidRPr="00BA2C90">
        <w:rPr>
          <w:rFonts w:ascii="Century Gothic" w:hAnsi="Century Gothic"/>
          <w:b/>
          <w:bCs/>
          <w:noProof/>
          <w:color w:val="595959" w:themeColor="text1" w:themeTint="A6"/>
          <w:sz w:val="44"/>
          <w:szCs w:val="44"/>
        </w:rPr>
        <w:drawing>
          <wp:anchor distT="0" distB="0" distL="114300" distR="114300" simplePos="0" relativeHeight="251658240" behindDoc="0" locked="0" layoutInCell="1" allowOverlap="1" wp14:anchorId="7949153F" wp14:editId="54B03270">
            <wp:simplePos x="0" y="0"/>
            <wp:positionH relativeFrom="column">
              <wp:posOffset>4118065</wp:posOffset>
            </wp:positionH>
            <wp:positionV relativeFrom="paragraph">
              <wp:posOffset>40511</wp:posOffset>
            </wp:positionV>
            <wp:extent cx="2667783" cy="370390"/>
            <wp:effectExtent l="0" t="0" r="0" b="0"/>
            <wp:wrapNone/>
            <wp:docPr id="1" name="Picture 1" descr="A picture containing tex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63907" cy="383736"/>
                    </a:xfrm>
                    <a:prstGeom prst="rect">
                      <a:avLst/>
                    </a:prstGeom>
                  </pic:spPr>
                </pic:pic>
              </a:graphicData>
            </a:graphic>
            <wp14:sizeRelH relativeFrom="margin">
              <wp14:pctWidth>0</wp14:pctWidth>
            </wp14:sizeRelH>
            <wp14:sizeRelV relativeFrom="margin">
              <wp14:pctHeight>0</wp14:pctHeight>
            </wp14:sizeRelV>
          </wp:anchor>
        </w:drawing>
      </w:r>
      <w:r w:rsidR="00433468">
        <w:rPr>
          <w:rFonts w:ascii="Century Gothic" w:hAnsi="Century Gothic"/>
          <w:b/>
          <w:bCs/>
          <w:noProof/>
          <w:color w:val="595959" w:themeColor="text1" w:themeTint="A6"/>
          <w:sz w:val="44"/>
          <w:szCs w:val="44"/>
        </w:rPr>
        <w:t>SIMPLE</w:t>
      </w:r>
      <w:r w:rsidR="00BA2C90" w:rsidRPr="00BA2C90">
        <w:rPr>
          <w:rFonts w:ascii="Century Gothic" w:hAnsi="Century Gothic"/>
          <w:b/>
          <w:bCs/>
          <w:noProof/>
          <w:color w:val="595959" w:themeColor="text1" w:themeTint="A6"/>
          <w:sz w:val="44"/>
          <w:szCs w:val="44"/>
        </w:rPr>
        <w:t xml:space="preserve"> SCOPE OF WORK </w:t>
      </w:r>
    </w:p>
    <w:p w14:paraId="77860183" w14:textId="1C4866DD" w:rsidR="000C0CB5" w:rsidRPr="00BA2C90" w:rsidRDefault="00BA2C90" w:rsidP="00433468">
      <w:pPr>
        <w:spacing w:after="0"/>
        <w:rPr>
          <w:rFonts w:ascii="Century Gothic" w:hAnsi="Century Gothic"/>
          <w:b/>
          <w:bCs/>
          <w:color w:val="595959" w:themeColor="text1" w:themeTint="A6"/>
          <w:sz w:val="44"/>
          <w:szCs w:val="44"/>
        </w:rPr>
      </w:pPr>
      <w:r w:rsidRPr="00BA2C90">
        <w:rPr>
          <w:rFonts w:ascii="Century Gothic" w:hAnsi="Century Gothic"/>
          <w:b/>
          <w:bCs/>
          <w:noProof/>
          <w:color w:val="595959" w:themeColor="text1" w:themeTint="A6"/>
          <w:sz w:val="44"/>
          <w:szCs w:val="44"/>
        </w:rPr>
        <w:t>TEMPLATE WITH EXAMPLE DATA</w:t>
      </w:r>
    </w:p>
    <w:tbl>
      <w:tblPr>
        <w:tblW w:w="10720" w:type="dxa"/>
        <w:tblLook w:val="04A0" w:firstRow="1" w:lastRow="0" w:firstColumn="1" w:lastColumn="0" w:noHBand="0" w:noVBand="1"/>
      </w:tblPr>
      <w:tblGrid>
        <w:gridCol w:w="4520"/>
        <w:gridCol w:w="6200"/>
      </w:tblGrid>
      <w:tr w:rsidR="000C0CB5" w:rsidRPr="000C0CB5" w14:paraId="3B427889" w14:textId="77777777" w:rsidTr="000C0CB5">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57FA6AAB" w14:textId="22C91713"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3CDB11B1" w14:textId="2E21C0D7"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Electric Vehicle-Charging Station Installations</w:t>
            </w:r>
          </w:p>
        </w:tc>
      </w:tr>
      <w:tr w:rsidR="000C0CB5" w:rsidRPr="000C0CB5" w14:paraId="766FF58A"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016F352"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0B813236" w14:textId="0284C13B"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Positive Charge</w:t>
            </w:r>
          </w:p>
        </w:tc>
      </w:tr>
      <w:tr w:rsidR="000C0CB5" w:rsidRPr="000C0CB5" w14:paraId="560CB0C3"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02BB845"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6849108C" w14:textId="6A6AC1E6"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Wendy Williams</w:t>
            </w:r>
          </w:p>
        </w:tc>
      </w:tr>
      <w:tr w:rsidR="000C0CB5" w:rsidRPr="000C0CB5" w14:paraId="1B9FBBB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FE603E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762F9CD0" w14:textId="0D565476"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765-876-9876</w:t>
            </w:r>
          </w:p>
        </w:tc>
      </w:tr>
      <w:tr w:rsidR="000C0CB5" w:rsidRPr="000C0CB5" w14:paraId="6432D07B"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F23C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3D00D687" w14:textId="2BC89ED2"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sidRPr="00BA2C90">
              <w:rPr>
                <w:rFonts w:ascii="Century Gothic" w:eastAsia="Times New Roman" w:hAnsi="Century Gothic" w:cs="Calibri"/>
                <w:color w:val="000000"/>
                <w:sz w:val="20"/>
                <w:szCs w:val="20"/>
              </w:rPr>
              <w:t>Wendy.Williams@postivecharge.com</w:t>
            </w:r>
          </w:p>
        </w:tc>
      </w:tr>
      <w:tr w:rsidR="000C0CB5" w:rsidRPr="000C0CB5" w14:paraId="7EA7E386"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C74FDE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F3DBDD0" w14:textId="68316524"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9016 NE 186</w:t>
            </w:r>
            <w:r w:rsidR="00BA2C90" w:rsidRPr="00BA2C90">
              <w:rPr>
                <w:rFonts w:ascii="Century Gothic" w:eastAsia="Times New Roman" w:hAnsi="Century Gothic" w:cs="Calibri"/>
                <w:color w:val="000000"/>
                <w:sz w:val="20"/>
                <w:szCs w:val="20"/>
                <w:vertAlign w:val="superscript"/>
              </w:rPr>
              <w:t>th</w:t>
            </w:r>
            <w:r w:rsidR="00BA2C90">
              <w:rPr>
                <w:rFonts w:ascii="Century Gothic" w:eastAsia="Times New Roman" w:hAnsi="Century Gothic" w:cs="Calibri"/>
                <w:color w:val="000000"/>
                <w:sz w:val="20"/>
                <w:szCs w:val="20"/>
                <w:vertAlign w:val="superscript"/>
              </w:rPr>
              <w:t xml:space="preserve">, </w:t>
            </w:r>
            <w:r w:rsidR="00BA2C90">
              <w:rPr>
                <w:rFonts w:ascii="Century Gothic" w:eastAsia="Times New Roman" w:hAnsi="Century Gothic" w:cs="Calibri"/>
                <w:color w:val="000000"/>
                <w:sz w:val="20"/>
                <w:szCs w:val="20"/>
              </w:rPr>
              <w:t>Boswell, WA 98011</w:t>
            </w:r>
          </w:p>
        </w:tc>
      </w:tr>
      <w:tr w:rsidR="000C0CB5" w:rsidRPr="000C0CB5" w14:paraId="04F61B3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9D07B67"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1E1ACB4D" w14:textId="32CD6555"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(various) U.S., Mexico, Canada</w:t>
            </w:r>
          </w:p>
        </w:tc>
      </w:tr>
      <w:tr w:rsidR="000C0CB5" w:rsidRPr="000C0CB5" w14:paraId="5E82C52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7080044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7A31AB3A" w14:textId="1BCB4B01"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Jane Matthews</w:t>
            </w:r>
          </w:p>
        </w:tc>
      </w:tr>
      <w:tr w:rsidR="000C0CB5" w:rsidRPr="000C0CB5" w14:paraId="594C08D9"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D372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1FD569E4" w14:textId="4221DAE2"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shd w:val="clear" w:color="auto" w:fill="auto"/>
            <w:noWrap/>
            <w:vAlign w:val="center"/>
            <w:hideMark/>
          </w:tcPr>
          <w:p w14:paraId="613FBF7E"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0C0CB5" w:rsidRPr="000C0CB5" w14:paraId="16EBDE80"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C391CA" w14:textId="15D473FF" w:rsidR="000C0CB5" w:rsidRPr="00BA2C90" w:rsidRDefault="00BA2C90" w:rsidP="00BA2C90">
            <w:pPr>
              <w:spacing w:after="0" w:line="240" w:lineRule="auto"/>
              <w:rPr>
                <w:rFonts w:ascii="Century Gothic" w:eastAsia="Times New Roman" w:hAnsi="Century Gothic" w:cs="Calibri"/>
                <w:color w:val="000000"/>
                <w:sz w:val="20"/>
                <w:szCs w:val="20"/>
              </w:rPr>
            </w:pPr>
            <w:r w:rsidRPr="00BA2C90">
              <w:rPr>
                <w:rFonts w:ascii="Century Gothic" w:hAnsi="Century Gothic"/>
                <w:sz w:val="20"/>
                <w:szCs w:val="20"/>
              </w:rPr>
              <w:t xml:space="preserve">Installation of 1,125 EV charging stations at 116 locations across the US, </w:t>
            </w:r>
            <w:proofErr w:type="gramStart"/>
            <w:r w:rsidRPr="00BA2C90">
              <w:rPr>
                <w:rFonts w:ascii="Century Gothic" w:hAnsi="Century Gothic"/>
                <w:sz w:val="20"/>
                <w:szCs w:val="20"/>
              </w:rPr>
              <w:t>Mexico</w:t>
            </w:r>
            <w:proofErr w:type="gramEnd"/>
            <w:r w:rsidRPr="00BA2C90">
              <w:rPr>
                <w:rFonts w:ascii="Century Gothic" w:hAnsi="Century Gothic"/>
                <w:sz w:val="20"/>
                <w:szCs w:val="20"/>
              </w:rPr>
              <w:t xml:space="preserve"> and Canada to accommodate malls' and service stations' EV-charging needs. Full details of the scope of this work are included in the attached documents, but, broadly, this project will entail the following for 17 unique sites in 3 different countries, and will include:  Site Analysis</w:t>
            </w:r>
            <w:r>
              <w:rPr>
                <w:rFonts w:ascii="Century Gothic" w:hAnsi="Century Gothic"/>
                <w:sz w:val="20"/>
                <w:szCs w:val="20"/>
              </w:rPr>
              <w:t xml:space="preserve">; </w:t>
            </w:r>
            <w:r w:rsidRPr="00BA2C90">
              <w:rPr>
                <w:rFonts w:ascii="Century Gothic" w:hAnsi="Century Gothic"/>
                <w:sz w:val="20"/>
                <w:szCs w:val="20"/>
              </w:rPr>
              <w:t>Infrastructural Planning</w:t>
            </w:r>
            <w:r>
              <w:rPr>
                <w:rFonts w:ascii="Century Gothic" w:hAnsi="Century Gothic"/>
                <w:sz w:val="20"/>
                <w:szCs w:val="20"/>
              </w:rPr>
              <w:t xml:space="preserve">; </w:t>
            </w:r>
            <w:r w:rsidRPr="00BA2C90">
              <w:rPr>
                <w:rFonts w:ascii="Century Gothic" w:hAnsi="Century Gothic"/>
                <w:sz w:val="20"/>
                <w:szCs w:val="20"/>
              </w:rPr>
              <w:t>Utility Assessment</w:t>
            </w:r>
            <w:r>
              <w:rPr>
                <w:rFonts w:ascii="Century Gothic" w:hAnsi="Century Gothic"/>
                <w:sz w:val="20"/>
                <w:szCs w:val="20"/>
              </w:rPr>
              <w:t xml:space="preserve">; </w:t>
            </w:r>
            <w:r w:rsidRPr="00BA2C90">
              <w:rPr>
                <w:rFonts w:ascii="Century Gothic" w:hAnsi="Century Gothic"/>
                <w:sz w:val="20"/>
                <w:szCs w:val="20"/>
              </w:rPr>
              <w:t>Integration</w:t>
            </w:r>
            <w:r>
              <w:rPr>
                <w:rFonts w:ascii="Century Gothic" w:hAnsi="Century Gothic"/>
                <w:sz w:val="20"/>
                <w:szCs w:val="20"/>
              </w:rPr>
              <w:t xml:space="preserve">; </w:t>
            </w:r>
            <w:r w:rsidRPr="00BA2C90">
              <w:rPr>
                <w:rFonts w:ascii="Century Gothic" w:hAnsi="Century Gothic"/>
                <w:sz w:val="20"/>
                <w:szCs w:val="20"/>
              </w:rPr>
              <w:t>Final Prep</w:t>
            </w:r>
            <w:r>
              <w:rPr>
                <w:rFonts w:ascii="Century Gothic" w:hAnsi="Century Gothic"/>
                <w:sz w:val="20"/>
                <w:szCs w:val="20"/>
              </w:rPr>
              <w:t>; and</w:t>
            </w:r>
            <w:r w:rsidRPr="00BA2C90">
              <w:rPr>
                <w:rFonts w:ascii="Century Gothic" w:hAnsi="Century Gothic"/>
                <w:sz w:val="20"/>
                <w:szCs w:val="20"/>
              </w:rPr>
              <w:t xml:space="preserve"> Installation</w:t>
            </w:r>
            <w:r>
              <w:rPr>
                <w:rFonts w:ascii="Century Gothic" w:hAnsi="Century Gothic"/>
                <w:sz w:val="20"/>
                <w:szCs w:val="20"/>
              </w:rPr>
              <w:t>.</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shd w:val="clear" w:color="auto" w:fill="auto"/>
            <w:vAlign w:val="center"/>
            <w:hideMark/>
          </w:tcPr>
          <w:p w14:paraId="77440BF9"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0C0CB5" w:rsidRPr="000C0CB5" w14:paraId="418A749A"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7A80472" w14:textId="6B11B93F" w:rsidR="000C0CB5" w:rsidRPr="00BA2C90" w:rsidRDefault="00BA2C90" w:rsidP="00BA2C90">
            <w:pPr>
              <w:spacing w:after="0" w:line="240" w:lineRule="auto"/>
              <w:rPr>
                <w:rFonts w:ascii="Century Gothic" w:eastAsia="Times New Roman" w:hAnsi="Century Gothic" w:cs="Calibri"/>
                <w:color w:val="000000"/>
                <w:sz w:val="20"/>
                <w:szCs w:val="20"/>
              </w:rPr>
            </w:pPr>
            <w:r>
              <w:rPr>
                <w:rFonts w:ascii="Century Gothic" w:hAnsi="Century Gothic"/>
                <w:sz w:val="20"/>
                <w:szCs w:val="20"/>
              </w:rPr>
              <w:t>Installations</w:t>
            </w:r>
            <w:r w:rsidRPr="00BA2C90">
              <w:rPr>
                <w:rFonts w:ascii="Century Gothic" w:hAnsi="Century Gothic"/>
                <w:sz w:val="20"/>
                <w:szCs w:val="20"/>
              </w:rPr>
              <w:t xml:space="preserve"> of 1,125 fully functional and licensed EV charging stations at 116 locations across the US, </w:t>
            </w:r>
            <w:proofErr w:type="gramStart"/>
            <w:r w:rsidRPr="00BA2C90">
              <w:rPr>
                <w:rFonts w:ascii="Century Gothic" w:hAnsi="Century Gothic"/>
                <w:sz w:val="20"/>
                <w:szCs w:val="20"/>
              </w:rPr>
              <w:t>Mexico</w:t>
            </w:r>
            <w:proofErr w:type="gramEnd"/>
            <w:r w:rsidRPr="00BA2C90">
              <w:rPr>
                <w:rFonts w:ascii="Century Gothic" w:hAnsi="Century Gothic"/>
                <w:sz w:val="20"/>
                <w:szCs w:val="20"/>
              </w:rPr>
              <w:t xml:space="preserve"> and Canada - 1,000 EV charging station in S. California - 100 in Canada - 25 in Mexico (see attached spec for geo-specific locations)</w:t>
            </w:r>
            <w:r>
              <w:rPr>
                <w:rFonts w:ascii="Century Gothic" w:hAnsi="Century Gothic"/>
                <w:sz w:val="20"/>
                <w:szCs w:val="20"/>
              </w:rPr>
              <w:t>.</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25C00B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ECFEF3" w14:textId="358FE588"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Positive Charge is not responsible for third-party / client locations preparatory work (e.g., permits for digging, city region electricity-availability logistics, etc.).</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EB5A16E" w14:textId="2293827E"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However, Positive Charge project managers can provide clients with a checklist to ensure their locations are adequately prepared for the installation of our EV charging stations.</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14E998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0C0CB5">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2A980FC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26A280F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433B442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3B14DC6"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B011F5D" w14:textId="4924F788"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XX/XX/XX</w:t>
            </w:r>
          </w:p>
        </w:tc>
        <w:tc>
          <w:tcPr>
            <w:tcW w:w="3035" w:type="dxa"/>
            <w:tcBorders>
              <w:top w:val="nil"/>
              <w:left w:val="nil"/>
              <w:bottom w:val="single" w:sz="4" w:space="0" w:color="BFBFBF"/>
              <w:right w:val="single" w:sz="4" w:space="0" w:color="BFBFBF"/>
            </w:tcBorders>
            <w:shd w:val="clear" w:color="auto" w:fill="auto"/>
            <w:vAlign w:val="center"/>
            <w:hideMark/>
          </w:tcPr>
          <w:p w14:paraId="551D134B" w14:textId="7E648E29"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Form Project Team / Preliminary Review / Scope</w:t>
            </w:r>
          </w:p>
        </w:tc>
        <w:tc>
          <w:tcPr>
            <w:tcW w:w="2435" w:type="dxa"/>
            <w:tcBorders>
              <w:top w:val="nil"/>
              <w:left w:val="nil"/>
              <w:bottom w:val="single" w:sz="4" w:space="0" w:color="BFBFBF"/>
              <w:right w:val="nil"/>
            </w:tcBorders>
            <w:shd w:val="clear" w:color="auto" w:fill="auto"/>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7F0ADD3C" w14:textId="50CA3544"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ED647AC" w14:textId="237621E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Analysis Phase</w:t>
            </w:r>
          </w:p>
        </w:tc>
        <w:tc>
          <w:tcPr>
            <w:tcW w:w="2435" w:type="dxa"/>
            <w:tcBorders>
              <w:top w:val="nil"/>
              <w:left w:val="nil"/>
              <w:bottom w:val="single" w:sz="4" w:space="0" w:color="BFBFBF"/>
              <w:right w:val="nil"/>
            </w:tcBorders>
            <w:shd w:val="clear" w:color="auto" w:fill="auto"/>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7CD804" w14:textId="786A50A2"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3780A29" w14:textId="1FC8876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Control Phase</w:t>
            </w:r>
          </w:p>
        </w:tc>
        <w:tc>
          <w:tcPr>
            <w:tcW w:w="2435" w:type="dxa"/>
            <w:tcBorders>
              <w:top w:val="nil"/>
              <w:left w:val="nil"/>
              <w:bottom w:val="single" w:sz="4" w:space="0" w:color="BFBFBF"/>
              <w:right w:val="nil"/>
            </w:tcBorders>
            <w:shd w:val="clear" w:color="auto" w:fill="auto"/>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46A12FF4" w14:textId="21A45C60"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B98AE5" w14:textId="2679A90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Project Summary Report and Close Out</w:t>
            </w:r>
          </w:p>
        </w:tc>
        <w:tc>
          <w:tcPr>
            <w:tcW w:w="2435" w:type="dxa"/>
            <w:tcBorders>
              <w:top w:val="nil"/>
              <w:left w:val="nil"/>
              <w:bottom w:val="single" w:sz="4" w:space="0" w:color="BFBFBF"/>
              <w:right w:val="nil"/>
            </w:tcBorders>
            <w:shd w:val="clear" w:color="auto" w:fill="auto"/>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B605F2F"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DAD0F8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33A462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3DA1126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2703216" w14:textId="3F4E708D"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78979687</w:t>
            </w:r>
          </w:p>
        </w:tc>
        <w:tc>
          <w:tcPr>
            <w:tcW w:w="3600" w:type="dxa"/>
            <w:tcBorders>
              <w:top w:val="nil"/>
              <w:left w:val="nil"/>
              <w:bottom w:val="single" w:sz="4" w:space="0" w:color="BFBFBF"/>
              <w:right w:val="single" w:sz="4" w:space="0" w:color="BFBFBF"/>
            </w:tcBorders>
            <w:shd w:val="clear" w:color="auto" w:fill="auto"/>
            <w:vAlign w:val="center"/>
            <w:hideMark/>
          </w:tcPr>
          <w:p w14:paraId="353E4CD6" w14:textId="21A61415"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Janine Remagio – Project Manager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365AAA6" w14:textId="3A88DEA3"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8542342</w:t>
            </w:r>
          </w:p>
        </w:tc>
        <w:tc>
          <w:tcPr>
            <w:tcW w:w="3600" w:type="dxa"/>
            <w:tcBorders>
              <w:top w:val="nil"/>
              <w:left w:val="nil"/>
              <w:bottom w:val="single" w:sz="4" w:space="0" w:color="BFBFBF"/>
              <w:right w:val="single" w:sz="4" w:space="0" w:color="BFBFBF"/>
            </w:tcBorders>
            <w:shd w:val="clear" w:color="auto" w:fill="auto"/>
            <w:vAlign w:val="center"/>
            <w:hideMark/>
          </w:tcPr>
          <w:p w14:paraId="7E5087D4" w14:textId="650AA530"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David Coen – Chief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FC22FC5" w14:textId="283C10DC"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5672334</w:t>
            </w:r>
          </w:p>
        </w:tc>
        <w:tc>
          <w:tcPr>
            <w:tcW w:w="3600" w:type="dxa"/>
            <w:tcBorders>
              <w:top w:val="nil"/>
              <w:left w:val="nil"/>
              <w:bottom w:val="single" w:sz="4" w:space="0" w:color="BFBFBF"/>
              <w:right w:val="single" w:sz="4" w:space="0" w:color="BFBFBF"/>
            </w:tcBorders>
            <w:shd w:val="clear" w:color="auto" w:fill="auto"/>
            <w:vAlign w:val="center"/>
            <w:hideMark/>
          </w:tcPr>
          <w:p w14:paraId="17AF7D33" w14:textId="0D598F9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Preze – CEO</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64A0D4D4" w14:textId="4C416CC0"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98712376</w:t>
            </w:r>
          </w:p>
        </w:tc>
        <w:tc>
          <w:tcPr>
            <w:tcW w:w="3600" w:type="dxa"/>
            <w:tcBorders>
              <w:top w:val="nil"/>
              <w:left w:val="nil"/>
              <w:bottom w:val="single" w:sz="4" w:space="0" w:color="BFBFBF"/>
              <w:right w:val="single" w:sz="4" w:space="0" w:color="BFBFBF"/>
            </w:tcBorders>
            <w:shd w:val="clear" w:color="auto" w:fill="auto"/>
            <w:vAlign w:val="center"/>
            <w:hideMark/>
          </w:tcPr>
          <w:p w14:paraId="0911B2BE" w14:textId="685A0EC6"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Donald Smythe – Field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2725CAD" w14:textId="24DCC403"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Electro Charge Logistics</w:t>
            </w:r>
          </w:p>
        </w:tc>
        <w:tc>
          <w:tcPr>
            <w:tcW w:w="3171" w:type="dxa"/>
            <w:tcBorders>
              <w:top w:val="nil"/>
              <w:left w:val="nil"/>
              <w:bottom w:val="single" w:sz="4" w:space="0" w:color="BFBFBF"/>
              <w:right w:val="single" w:sz="4" w:space="0" w:color="BFBFBF"/>
            </w:tcBorders>
            <w:shd w:val="clear" w:color="auto" w:fill="auto"/>
            <w:vAlign w:val="center"/>
            <w:hideMark/>
          </w:tcPr>
          <w:p w14:paraId="585A365B" w14:textId="27F8D16F"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Pr>
                <w:rFonts w:ascii="Century Gothic" w:eastAsia="Times New Roman" w:hAnsi="Century Gothic" w:cs="Calibri"/>
                <w:color w:val="000000"/>
                <w:sz w:val="20"/>
                <w:szCs w:val="20"/>
              </w:rPr>
              <w:t>68,768</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303512F9" w14:textId="014A9257"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Level 1 EVS</w:t>
            </w:r>
          </w:p>
        </w:tc>
        <w:tc>
          <w:tcPr>
            <w:tcW w:w="3171" w:type="dxa"/>
            <w:tcBorders>
              <w:top w:val="nil"/>
              <w:left w:val="nil"/>
              <w:bottom w:val="single" w:sz="4" w:space="0" w:color="BFBFBF"/>
              <w:right w:val="single" w:sz="4" w:space="0" w:color="BFBFBF"/>
            </w:tcBorders>
            <w:shd w:val="clear" w:color="auto" w:fill="auto"/>
            <w:vAlign w:val="center"/>
            <w:hideMark/>
          </w:tcPr>
          <w:p w14:paraId="7F25B976" w14:textId="2548862B"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sidRPr="000C0CB5">
              <w:rPr>
                <w:rFonts w:ascii="Century Gothic" w:eastAsia="Times New Roman" w:hAnsi="Century Gothic" w:cs="Calibri"/>
                <w:color w:val="000000"/>
                <w:sz w:val="20"/>
                <w:szCs w:val="20"/>
              </w:rPr>
              <w:t>$</w:t>
            </w:r>
            <w:r w:rsidR="00EA3AD7">
              <w:rPr>
                <w:rFonts w:ascii="Century Gothic" w:eastAsia="Times New Roman" w:hAnsi="Century Gothic" w:cs="Calibri"/>
                <w:color w:val="000000"/>
                <w:sz w:val="20"/>
                <w:szCs w:val="20"/>
              </w:rPr>
              <w:t>68,768</w:t>
            </w:r>
            <w:r w:rsidRPr="000C0CB5">
              <w:rPr>
                <w:rFonts w:ascii="Century Gothic" w:eastAsia="Times New Roman" w:hAnsi="Century Gothic" w:cs="Calibri"/>
                <w:color w:val="000000"/>
                <w:sz w:val="20"/>
                <w:szCs w:val="20"/>
              </w:rPr>
              <w:t xml:space="preserve">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54FD9EF2" w14:textId="5EAF2C7D"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EVS Fast Chargers</w:t>
            </w:r>
          </w:p>
        </w:tc>
        <w:tc>
          <w:tcPr>
            <w:tcW w:w="3171" w:type="dxa"/>
            <w:tcBorders>
              <w:top w:val="nil"/>
              <w:left w:val="nil"/>
              <w:bottom w:val="single" w:sz="4" w:space="0" w:color="BFBFBF"/>
              <w:right w:val="single" w:sz="4" w:space="0" w:color="BFBFBF"/>
            </w:tcBorders>
            <w:shd w:val="clear" w:color="auto" w:fill="auto"/>
            <w:vAlign w:val="center"/>
            <w:hideMark/>
          </w:tcPr>
          <w:p w14:paraId="20C78B19" w14:textId="09334884"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404B4A3E" w14:textId="47E45AF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Power Conversion System Vendor</w:t>
            </w:r>
          </w:p>
        </w:tc>
        <w:tc>
          <w:tcPr>
            <w:tcW w:w="3171" w:type="dxa"/>
            <w:tcBorders>
              <w:top w:val="nil"/>
              <w:left w:val="nil"/>
              <w:bottom w:val="single" w:sz="4" w:space="0" w:color="BFBFBF"/>
              <w:right w:val="single" w:sz="4" w:space="0" w:color="BFBFBF"/>
            </w:tcBorders>
            <w:shd w:val="clear" w:color="auto" w:fill="auto"/>
            <w:vAlign w:val="center"/>
            <w:hideMark/>
          </w:tcPr>
          <w:p w14:paraId="236BF86E" w14:textId="5D78658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2176BDB5" w14:textId="7F51E86E"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Third-Party Software</w:t>
            </w:r>
          </w:p>
        </w:tc>
        <w:tc>
          <w:tcPr>
            <w:tcW w:w="3171" w:type="dxa"/>
            <w:tcBorders>
              <w:top w:val="nil"/>
              <w:left w:val="nil"/>
              <w:bottom w:val="single" w:sz="4" w:space="0" w:color="BFBFBF"/>
              <w:right w:val="single" w:sz="4" w:space="0" w:color="BFBFBF"/>
            </w:tcBorders>
            <w:shd w:val="clear" w:color="auto" w:fill="auto"/>
            <w:vAlign w:val="center"/>
            <w:hideMark/>
          </w:tcPr>
          <w:p w14:paraId="63587F60" w14:textId="32AE2AD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E53B108" w14:textId="1E67368A"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Next 30 upon project completion. 10% retainage fee.</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BE19E6" w:rsidRDefault="00811BA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811BA6" w:rsidRPr="00811BA6" w14:paraId="7201A03F" w14:textId="77777777" w:rsidTr="00811BA6">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EF965C4"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40C21DE5" w14:textId="5A1120D7"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Steph Arjuna</w:t>
            </w:r>
            <w:r w:rsidR="00811BA6" w:rsidRPr="00811BA6">
              <w:rPr>
                <w:rFonts w:ascii="Century Gothic" w:eastAsia="Times New Roman" w:hAnsi="Century Gothic" w:cs="Calibri"/>
                <w:color w:val="000000"/>
                <w:sz w:val="20"/>
                <w:szCs w:val="20"/>
              </w:rPr>
              <w:t> </w:t>
            </w:r>
          </w:p>
        </w:tc>
      </w:tr>
      <w:tr w:rsidR="00811BA6" w:rsidRPr="00811BA6" w14:paraId="40C709F8"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436D8AB8"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D63B99"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6BB92184" w14:textId="3A4CD8A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r w:rsidR="00811BA6" w:rsidRPr="00811BA6" w14:paraId="6FEAE2C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F449C41"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762B2301" w14:textId="52D6112C"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Stevens</w:t>
            </w:r>
          </w:p>
        </w:tc>
      </w:tr>
      <w:tr w:rsidR="00811BA6" w:rsidRPr="00811BA6" w14:paraId="42870F63"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10C0C5F"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2662700"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33F30344" w14:textId="2F857B8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58F9D69" w14:textId="4DD864FA" w:rsidR="00811BA6" w:rsidRDefault="00811BA6">
      <w:pPr>
        <w:rPr>
          <w:rFonts w:ascii="Century Gothic" w:hAnsi="Century Gothic"/>
          <w:b/>
          <w:bCs/>
          <w:color w:val="595959" w:themeColor="text1" w:themeTint="A6"/>
          <w:sz w:val="24"/>
          <w:szCs w:val="24"/>
        </w:rPr>
      </w:pPr>
    </w:p>
    <w:p w14:paraId="6A8119A4" w14:textId="55F45BB8"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6ED0107C" w14:textId="77777777" w:rsidTr="00BE19E6">
        <w:trPr>
          <w:trHeight w:val="1367"/>
        </w:trPr>
        <w:tc>
          <w:tcPr>
            <w:tcW w:w="10790" w:type="dxa"/>
          </w:tcPr>
          <w:p w14:paraId="19445DD2" w14:textId="77777777" w:rsidR="00BE19E6" w:rsidRDefault="00BE19E6">
            <w:pPr>
              <w:rPr>
                <w:rFonts w:ascii="Century Gothic" w:hAnsi="Century Gothic"/>
                <w:b/>
                <w:bCs/>
                <w:color w:val="595959" w:themeColor="text1" w:themeTint="A6"/>
              </w:rPr>
            </w:pPr>
          </w:p>
        </w:tc>
      </w:tr>
    </w:tbl>
    <w:p w14:paraId="01A6B78C" w14:textId="717C799C" w:rsidR="00811BA6" w:rsidRDefault="00811BA6">
      <w:pPr>
        <w:rPr>
          <w:rFonts w:ascii="Century Gothic" w:hAnsi="Century Gothic"/>
          <w:b/>
          <w:bCs/>
          <w:color w:val="595959" w:themeColor="text1" w:themeTint="A6"/>
          <w:sz w:val="24"/>
          <w:szCs w:val="24"/>
        </w:rPr>
      </w:pPr>
    </w:p>
    <w:p w14:paraId="4F52489C" w14:textId="7D396A3B" w:rsidR="00BA2C90"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79B3C6C9" w14:textId="16279539" w:rsidR="00BA2C90" w:rsidRPr="00BA2C90" w:rsidRDefault="00433468" w:rsidP="00BA2C90">
      <w:pPr>
        <w:rPr>
          <w:rFonts w:ascii="Century Gothic" w:hAnsi="Century Gothic"/>
          <w:b/>
          <w:bCs/>
          <w:color w:val="595959" w:themeColor="text1" w:themeTint="A6"/>
          <w:sz w:val="44"/>
          <w:szCs w:val="44"/>
        </w:rPr>
      </w:pPr>
      <w:r>
        <w:rPr>
          <w:rFonts w:ascii="Century Gothic" w:hAnsi="Century Gothic"/>
          <w:b/>
          <w:bCs/>
          <w:noProof/>
          <w:color w:val="595959" w:themeColor="text1" w:themeTint="A6"/>
          <w:sz w:val="44"/>
          <w:szCs w:val="44"/>
        </w:rPr>
        <w:lastRenderedPageBreak/>
        <w:t>SIMPLE</w:t>
      </w:r>
      <w:r w:rsidR="00BA2C90" w:rsidRPr="00BA2C90">
        <w:rPr>
          <w:rFonts w:ascii="Century Gothic" w:hAnsi="Century Gothic"/>
          <w:b/>
          <w:bCs/>
          <w:noProof/>
          <w:color w:val="595959" w:themeColor="text1" w:themeTint="A6"/>
          <w:sz w:val="44"/>
          <w:szCs w:val="44"/>
        </w:rPr>
        <w:t xml:space="preserve"> SCOPE OF WORK TEMPLATE </w:t>
      </w:r>
    </w:p>
    <w:tbl>
      <w:tblPr>
        <w:tblW w:w="10720" w:type="dxa"/>
        <w:tblLook w:val="04A0" w:firstRow="1" w:lastRow="0" w:firstColumn="1" w:lastColumn="0" w:noHBand="0" w:noVBand="1"/>
      </w:tblPr>
      <w:tblGrid>
        <w:gridCol w:w="4520"/>
        <w:gridCol w:w="6200"/>
      </w:tblGrid>
      <w:tr w:rsidR="00BA2C90" w:rsidRPr="000C0CB5" w14:paraId="7E4F756A"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00DE0A7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6143BA50" w14:textId="10479550"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0F71AF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9584D7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5BA05559" w14:textId="118401D9"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7BBFC0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12D325B8"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495AB41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961C9C7"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1C03CF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06EF677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51797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786A6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73BF489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E31C81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CACA5C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6600F2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67597319"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6D62FD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51F60CE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AB7C8E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6DA171F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659E733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82C5F25"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7A2DB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4DDCBC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94AE2E3"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610C4D47" w14:textId="77777777" w:rsidTr="00F5200C">
        <w:trPr>
          <w:trHeight w:val="600"/>
        </w:trPr>
        <w:tc>
          <w:tcPr>
            <w:tcW w:w="10710" w:type="dxa"/>
            <w:tcBorders>
              <w:top w:val="nil"/>
              <w:left w:val="nil"/>
              <w:bottom w:val="nil"/>
              <w:right w:val="nil"/>
            </w:tcBorders>
            <w:shd w:val="clear" w:color="auto" w:fill="auto"/>
            <w:noWrap/>
            <w:vAlign w:val="center"/>
            <w:hideMark/>
          </w:tcPr>
          <w:p w14:paraId="58EEED2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BA2C90" w:rsidRPr="000C0CB5" w14:paraId="29B456EA"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2FFD7669"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BA2C90" w:rsidRPr="000C0CB5" w14:paraId="20702C28" w14:textId="77777777" w:rsidTr="00F5200C">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6770E67"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A5AD0DA"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14E2FD9B" w14:textId="77777777" w:rsidTr="00F5200C">
        <w:trPr>
          <w:trHeight w:val="600"/>
        </w:trPr>
        <w:tc>
          <w:tcPr>
            <w:tcW w:w="10710" w:type="dxa"/>
            <w:tcBorders>
              <w:top w:val="nil"/>
              <w:left w:val="nil"/>
              <w:bottom w:val="single" w:sz="4" w:space="0" w:color="BFBFBF"/>
              <w:right w:val="nil"/>
            </w:tcBorders>
            <w:shd w:val="clear" w:color="auto" w:fill="auto"/>
            <w:vAlign w:val="center"/>
            <w:hideMark/>
          </w:tcPr>
          <w:p w14:paraId="590AF84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BA2C90" w:rsidRPr="000C0CB5" w14:paraId="0BC65EEB"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327DFEC"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BA2C90" w:rsidRPr="000C0CB5" w14:paraId="6BCAAE43" w14:textId="77777777" w:rsidTr="00F5200C">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4340C5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98C2AD0"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0C0CB5" w14:paraId="238DC497"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71534BBF"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BA2C90" w:rsidRPr="000C0CB5" w14:paraId="09C5446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0BBA56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611DBF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FDCD6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DAFF6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62F3A42"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3AC6D49"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884A4A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8E95739"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BA2C90" w:rsidRPr="000C0CB5" w14:paraId="688379D2"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C3E70C"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BA2C90" w:rsidRPr="000C0CB5" w14:paraId="24D34A69" w14:textId="77777777" w:rsidTr="00F5200C">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6E54B8D"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7590270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36362A56"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702E33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BA2C90" w:rsidRPr="000C0CB5" w14:paraId="0220C7D8"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8DA7609"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4FEF139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1CF0C9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F224E4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2FACE43"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E9F4DB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0075FBD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494B50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94BFB7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A39E69"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AC7A58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2824EC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B81872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32B568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3FB119EC"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000F76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206C1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66E0366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293EB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83C5C0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BA2C90" w:rsidRPr="000C0CB5" w14:paraId="0F0B68C6"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EA29A70"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BA2C90" w:rsidRPr="000C0CB5" w14:paraId="5DA0F89F"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43BF1C3E"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5AB45B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669EA3D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EFF926B" w14:textId="77777777" w:rsidR="00BA2C90" w:rsidRPr="000C0CB5" w:rsidRDefault="00BA2C90" w:rsidP="00F5200C">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BA2C90" w:rsidRPr="000C0CB5" w14:paraId="76312D5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36EDF6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4F7C4A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6E34AF2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1357B07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7A5FE5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161BE47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71889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B235E7"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261A14EF"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51A1DBC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979620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4724FEE"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CAC1D2"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007A8C8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86CE3F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30710A58" w14:textId="77777777" w:rsidR="00BA2C90" w:rsidRDefault="00BA2C90" w:rsidP="00BA2C90">
      <w:pPr>
        <w:rPr>
          <w:rFonts w:ascii="Century Gothic" w:hAnsi="Century Gothic"/>
          <w:b/>
          <w:bCs/>
          <w:color w:val="595959" w:themeColor="text1" w:themeTint="A6"/>
          <w:sz w:val="24"/>
          <w:szCs w:val="24"/>
        </w:rPr>
      </w:pPr>
    </w:p>
    <w:p w14:paraId="7BA6A43D" w14:textId="77777777" w:rsidR="00BA2C90" w:rsidRDefault="00BA2C90" w:rsidP="00BA2C90">
      <w:pPr>
        <w:rPr>
          <w:rFonts w:ascii="Century Gothic" w:hAnsi="Century Gothic"/>
          <w:b/>
          <w:bCs/>
          <w:color w:val="595959" w:themeColor="text1" w:themeTint="A6"/>
          <w:sz w:val="24"/>
          <w:szCs w:val="24"/>
        </w:rPr>
      </w:pPr>
    </w:p>
    <w:p w14:paraId="42F7A2EF"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BA2C90" w:rsidRPr="000C0CB5" w14:paraId="792C8A08" w14:textId="77777777" w:rsidTr="00F5200C">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1327E8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BA2C90" w:rsidRPr="000C0CB5" w14:paraId="159E99F4"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CB84D51"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057AF25F"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58B0E719" w14:textId="77777777" w:rsidR="00BA2C90" w:rsidRPr="00811BA6" w:rsidRDefault="00BA2C90" w:rsidP="00F5200C">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BA2C90" w:rsidRPr="000C0CB5" w14:paraId="3E09585A"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084E06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04A0F90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E7E4AD3"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B0C561C"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78F4B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F41E5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3E06197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12A0094F"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73501C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354F5E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4D6ABB4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32304D87"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091E61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8355B7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520202BF"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911D893"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21AFC5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04FC70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6F9382E7"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5C4B956C" w14:textId="77777777" w:rsidTr="00F5200C">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0CAE2E3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1307B6E" w14:textId="77777777" w:rsidR="00BA2C90" w:rsidRPr="000C0CB5" w:rsidRDefault="00BA2C90" w:rsidP="00F5200C">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0BFBF751"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5AB0368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811BA6" w14:paraId="5E0B46A4"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528171B"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BA2C90" w:rsidRPr="00811BA6" w14:paraId="6B3FF47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A1E7A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788D0DAF"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F923F2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5BFFEE8"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652E8F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1A2E671" w14:textId="77777777" w:rsidR="00BA2C90" w:rsidRDefault="00BA2C90" w:rsidP="00BA2C90">
      <w:pPr>
        <w:rPr>
          <w:rFonts w:ascii="Century Gothic" w:hAnsi="Century Gothic"/>
          <w:b/>
          <w:bCs/>
          <w:color w:val="595959" w:themeColor="text1" w:themeTint="A6"/>
          <w:sz w:val="24"/>
          <w:szCs w:val="24"/>
        </w:rPr>
      </w:pPr>
    </w:p>
    <w:p w14:paraId="116F66ED" w14:textId="77777777" w:rsidR="00BA2C90" w:rsidRPr="00BE19E6" w:rsidRDefault="00BA2C90" w:rsidP="00BA2C90">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BA2C90" w:rsidRPr="00811BA6" w14:paraId="27398356"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9CC5EE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30617E5D"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567EA87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64705401"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44539B6E"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9F8F58B"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411F7CE"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505C8F79"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D9177D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F08E2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5D89E13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C6FA81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0AF0E7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76CA5D7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2BC45B1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728F834B"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06ACBC6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26E83B02" w14:textId="77777777" w:rsidR="00BA2C90" w:rsidRDefault="00BA2C90" w:rsidP="00BA2C90">
      <w:pPr>
        <w:rPr>
          <w:rFonts w:ascii="Century Gothic" w:hAnsi="Century Gothic"/>
          <w:b/>
          <w:bCs/>
          <w:color w:val="595959" w:themeColor="text1" w:themeTint="A6"/>
          <w:sz w:val="24"/>
          <w:szCs w:val="24"/>
        </w:rPr>
      </w:pPr>
    </w:p>
    <w:p w14:paraId="362C7C8A" w14:textId="77777777" w:rsidR="00BA2C90" w:rsidRDefault="00BA2C90" w:rsidP="00BA2C90">
      <w:pPr>
        <w:rPr>
          <w:rFonts w:ascii="Century Gothic" w:hAnsi="Century Gothic"/>
          <w:b/>
          <w:bCs/>
          <w:color w:val="595959" w:themeColor="text1" w:themeTint="A6"/>
          <w:sz w:val="24"/>
          <w:szCs w:val="24"/>
        </w:rPr>
      </w:pPr>
    </w:p>
    <w:p w14:paraId="4A0930A7" w14:textId="77777777"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4FBE08ED" w14:textId="77777777" w:rsidTr="00A477C6">
        <w:trPr>
          <w:trHeight w:val="1367"/>
        </w:trPr>
        <w:tc>
          <w:tcPr>
            <w:tcW w:w="10790" w:type="dxa"/>
          </w:tcPr>
          <w:p w14:paraId="5D9C498A" w14:textId="77777777" w:rsidR="00BE19E6" w:rsidRDefault="00BE19E6" w:rsidP="00A477C6">
            <w:pPr>
              <w:rPr>
                <w:rFonts w:ascii="Century Gothic" w:hAnsi="Century Gothic"/>
                <w:b/>
                <w:bCs/>
                <w:color w:val="595959" w:themeColor="text1" w:themeTint="A6"/>
              </w:rPr>
            </w:pPr>
          </w:p>
        </w:tc>
      </w:tr>
    </w:tbl>
    <w:p w14:paraId="63B2988A"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232C800E" w14:textId="77777777" w:rsidR="00811BA6" w:rsidRDefault="00811BA6">
      <w:pPr>
        <w:rPr>
          <w:rFonts w:ascii="Century Gothic" w:hAnsi="Century Gothic"/>
          <w:b/>
          <w:bCs/>
          <w:color w:val="595959" w:themeColor="text1" w:themeTint="A6"/>
          <w:sz w:val="24"/>
          <w:szCs w:val="24"/>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CB5"/>
    <w:rsid w:val="000C0CB5"/>
    <w:rsid w:val="00360366"/>
    <w:rsid w:val="00433468"/>
    <w:rsid w:val="007B5FD3"/>
    <w:rsid w:val="00811BA6"/>
    <w:rsid w:val="00BA2C90"/>
    <w:rsid w:val="00BE19E6"/>
    <w:rsid w:val="00C94391"/>
    <w:rsid w:val="00EA3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15:chartTrackingRefBased/>
  <w15:docId w15:val="{9A53294F-1B41-4020-B71D-32AF493C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2C90"/>
    <w:rPr>
      <w:color w:val="0563C1" w:themeColor="hyperlink"/>
      <w:u w:val="single"/>
    </w:rPr>
  </w:style>
  <w:style w:type="character" w:styleId="UnresolvedMention">
    <w:name w:val="Unresolved Mention"/>
    <w:basedOn w:val="DefaultParagraphFont"/>
    <w:uiPriority w:val="99"/>
    <w:semiHidden/>
    <w:unhideWhenUsed/>
    <w:rsid w:val="00BA2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1498&amp;utm_source=integrated+content&amp;utm_campaign=/content/scope-of-work-templates&amp;utm_medium=Simple+Scope+of+Work+Template+with+Sample+Text+doc+11498&amp;lpa=Simple+Scope+of+Work+Template+with+Sample+Text+doc+11498&amp;lx=PFpZZjisDNTS-Ddigi3MyABAgeTPLDIL8TQRu558b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Heather Key</cp:lastModifiedBy>
  <cp:revision>7</cp:revision>
  <dcterms:created xsi:type="dcterms:W3CDTF">2022-06-28T23:58:00Z</dcterms:created>
  <dcterms:modified xsi:type="dcterms:W3CDTF">2022-07-13T19:56:00Z</dcterms:modified>
</cp:coreProperties>
</file>